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33E74ACD" w:rsidR="00D12567" w:rsidRPr="003D7B04" w:rsidRDefault="000A1E66" w:rsidP="003B7F68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Usnesení </w:t>
      </w:r>
    </w:p>
    <w:p w14:paraId="260B6A15" w14:textId="3EA1AFA3" w:rsidR="00D12567" w:rsidRPr="003D7B04" w:rsidRDefault="00D12567" w:rsidP="003B7F68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8E2ED4">
        <w:rPr>
          <w:rFonts w:cs="Calibri"/>
          <w:szCs w:val="24"/>
          <w:u w:val="single"/>
        </w:rPr>
        <w:t>04.03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3B7F68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0F615EE5" w14:textId="6F12B68E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Výběrové řízení na provozovatele pouťových atrakcí (mat. č. 64/2024)</w:t>
      </w:r>
    </w:p>
    <w:p w14:paraId="214A447C" w14:textId="77777777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931FBB3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F827FF6" w14:textId="77777777" w:rsidR="00F70F59" w:rsidRDefault="00F70F59" w:rsidP="00F70F5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</w:t>
      </w:r>
      <w:r w:rsidRPr="000A7373">
        <w:rPr>
          <w:rFonts w:cs="Calibri"/>
          <w:b/>
          <w:szCs w:val="24"/>
        </w:rPr>
        <w:t>Schvaluje</w:t>
      </w:r>
    </w:p>
    <w:p w14:paraId="2C73E4B3" w14:textId="5D35857E" w:rsidR="00F70F59" w:rsidRDefault="00F70F59" w:rsidP="00F70F59">
      <w:pPr>
        <w:contextualSpacing/>
        <w:jc w:val="both"/>
        <w:rPr>
          <w:rFonts w:cs="Calibri"/>
        </w:rPr>
      </w:pPr>
      <w:r w:rsidRPr="00BE058F">
        <w:rPr>
          <w:rFonts w:cs="Calibri"/>
        </w:rPr>
        <w:t>vyhlášení výběrového řízení pro provozovatele pouťových atrakcí</w:t>
      </w:r>
      <w:r>
        <w:rPr>
          <w:rFonts w:cs="Calibri"/>
        </w:rPr>
        <w:t xml:space="preserve"> v Sezimově Ústí</w:t>
      </w:r>
      <w:r>
        <w:rPr>
          <w:rFonts w:cs="Calibri"/>
        </w:rPr>
        <w:br/>
      </w:r>
      <w:r w:rsidRPr="00BE058F">
        <w:rPr>
          <w:rFonts w:cs="Calibri"/>
        </w:rPr>
        <w:t xml:space="preserve">při příležitosti konání poutě Povýšení </w:t>
      </w:r>
      <w:r>
        <w:rPr>
          <w:rFonts w:cs="Calibri"/>
        </w:rPr>
        <w:t>s</w:t>
      </w:r>
      <w:r w:rsidRPr="00BE058F">
        <w:rPr>
          <w:rFonts w:cs="Calibri"/>
        </w:rPr>
        <w:t xml:space="preserve">vatého </w:t>
      </w:r>
      <w:r>
        <w:rPr>
          <w:rFonts w:cs="Calibri"/>
        </w:rPr>
        <w:t>K</w:t>
      </w:r>
      <w:r w:rsidRPr="00BE058F">
        <w:rPr>
          <w:rFonts w:cs="Calibri"/>
        </w:rPr>
        <w:t>říže</w:t>
      </w:r>
      <w:r>
        <w:rPr>
          <w:rFonts w:cs="Calibri"/>
        </w:rPr>
        <w:t xml:space="preserve"> pro rok 2024, </w:t>
      </w:r>
      <w:r w:rsidR="00E86BC4">
        <w:rPr>
          <w:rFonts w:cs="Calibri"/>
        </w:rPr>
        <w:t>dle</w:t>
      </w:r>
      <w:r>
        <w:rPr>
          <w:rFonts w:cs="Calibri"/>
        </w:rPr>
        <w:t xml:space="preserve"> upraven</w:t>
      </w:r>
      <w:r w:rsidR="00E86BC4">
        <w:rPr>
          <w:rFonts w:cs="Calibri"/>
        </w:rPr>
        <w:t xml:space="preserve">ého návrhu </w:t>
      </w:r>
      <w:r>
        <w:rPr>
          <w:rFonts w:cs="Calibri"/>
        </w:rPr>
        <w:t>podmínek uvedených v důvodové zprávě.</w:t>
      </w:r>
    </w:p>
    <w:p w14:paraId="4D91D3C6" w14:textId="7FCB6F21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4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</w:t>
      </w:r>
      <w:r>
        <w:rPr>
          <w:rFonts w:cs="Calibri"/>
          <w:szCs w:val="24"/>
        </w:rPr>
        <w:t>1</w:t>
      </w:r>
      <w:r w:rsidRPr="00300CCC">
        <w:rPr>
          <w:rFonts w:cs="Calibri"/>
          <w:szCs w:val="24"/>
        </w:rPr>
        <w:t>Z</w:t>
      </w:r>
    </w:p>
    <w:p w14:paraId="0AA43EC6" w14:textId="77777777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58221AD" w14:textId="28781AF1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Konkursní řízení na ředitele/</w:t>
      </w:r>
      <w:proofErr w:type="spellStart"/>
      <w:r w:rsidRPr="00F70F59">
        <w:rPr>
          <w:rFonts w:asciiTheme="minorHAnsi" w:hAnsiTheme="minorHAnsi" w:cstheme="minorHAnsi"/>
          <w:b/>
          <w:bCs/>
          <w:szCs w:val="24"/>
        </w:rPr>
        <w:t>ky</w:t>
      </w:r>
      <w:proofErr w:type="spellEnd"/>
      <w:r w:rsidRPr="00F70F59">
        <w:rPr>
          <w:rFonts w:asciiTheme="minorHAnsi" w:hAnsiTheme="minorHAnsi" w:cstheme="minorHAnsi"/>
          <w:b/>
          <w:bCs/>
          <w:szCs w:val="24"/>
        </w:rPr>
        <w:t xml:space="preserve"> ZŠ a MŠ – konkursní komise (mat. č. 65/2024)</w:t>
      </w:r>
    </w:p>
    <w:p w14:paraId="12C49C72" w14:textId="3AF0CAE9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BB26B9A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C0ACBC8" w14:textId="77777777" w:rsidR="00971D10" w:rsidRPr="006510B4" w:rsidRDefault="00971D10" w:rsidP="00971D10">
      <w:pPr>
        <w:jc w:val="both"/>
        <w:rPr>
          <w:rFonts w:cs="Calibri"/>
          <w:b/>
          <w:szCs w:val="24"/>
        </w:rPr>
      </w:pPr>
      <w:r w:rsidRPr="00C91A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J</w:t>
      </w:r>
      <w:r w:rsidRPr="006510B4">
        <w:rPr>
          <w:rFonts w:cs="Calibri"/>
          <w:b/>
          <w:szCs w:val="24"/>
        </w:rPr>
        <w:t>menuje</w:t>
      </w:r>
    </w:p>
    <w:p w14:paraId="7538BB61" w14:textId="77777777" w:rsidR="00971D10" w:rsidRPr="006510B4" w:rsidRDefault="00971D10" w:rsidP="00971D10">
      <w:pPr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komisi pro konkursní řízení na pracovní místo ředitel/</w:t>
      </w:r>
      <w:proofErr w:type="spellStart"/>
      <w:r w:rsidRPr="006510B4">
        <w:rPr>
          <w:rFonts w:cs="Calibri"/>
          <w:szCs w:val="24"/>
        </w:rPr>
        <w:t>ka</w:t>
      </w:r>
      <w:proofErr w:type="spellEnd"/>
      <w:r w:rsidRPr="006510B4"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p.o</w:t>
      </w:r>
      <w:proofErr w:type="spellEnd"/>
      <w:r>
        <w:rPr>
          <w:rFonts w:cs="Calibri"/>
          <w:szCs w:val="24"/>
        </w:rPr>
        <w:t>. Základní</w:t>
      </w:r>
      <w:r w:rsidRPr="00C91A0D">
        <w:rPr>
          <w:rFonts w:cs="Calibri"/>
          <w:szCs w:val="24"/>
        </w:rPr>
        <w:t xml:space="preserve"> škol</w:t>
      </w:r>
      <w:r>
        <w:rPr>
          <w:rFonts w:cs="Calibri"/>
          <w:szCs w:val="24"/>
        </w:rPr>
        <w:t>a a Mateřská škola</w:t>
      </w:r>
      <w:r w:rsidRPr="00C91A0D">
        <w:rPr>
          <w:rFonts w:cs="Calibri"/>
          <w:szCs w:val="24"/>
        </w:rPr>
        <w:t xml:space="preserve"> </w:t>
      </w:r>
      <w:r>
        <w:rPr>
          <w:rFonts w:cs="Calibri"/>
          <w:bCs/>
          <w:szCs w:val="24"/>
        </w:rPr>
        <w:t>Sezimovo Ústí, 9. května 489, okres Tábor</w:t>
      </w:r>
      <w:r w:rsidRPr="006510B4">
        <w:rPr>
          <w:rFonts w:cs="Calibri"/>
          <w:szCs w:val="24"/>
        </w:rPr>
        <w:t>, ve složení:</w:t>
      </w:r>
      <w:r w:rsidRPr="006510B4">
        <w:rPr>
          <w:rFonts w:cs="Calibri"/>
          <w:szCs w:val="24"/>
        </w:rPr>
        <w:tab/>
      </w:r>
    </w:p>
    <w:p w14:paraId="1C795EAB" w14:textId="77777777" w:rsidR="00971D10" w:rsidRDefault="00971D10" w:rsidP="00971D10">
      <w:pPr>
        <w:ind w:left="2410" w:hanging="2410"/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předseda komise:</w:t>
      </w:r>
      <w:r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ab/>
      </w:r>
    </w:p>
    <w:p w14:paraId="77318548" w14:textId="77777777" w:rsidR="00971D10" w:rsidRPr="006510B4" w:rsidRDefault="00971D10" w:rsidP="00971D10">
      <w:pPr>
        <w:ind w:left="2410" w:hanging="1702"/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Mgr. Ing. Martin Doležal</w:t>
      </w:r>
      <w:r>
        <w:rPr>
          <w:rFonts w:cs="Calibri"/>
          <w:szCs w:val="24"/>
        </w:rPr>
        <w:t>, LL.M., starosta města, za zřizovatele</w:t>
      </w:r>
    </w:p>
    <w:p w14:paraId="41D32014" w14:textId="77777777" w:rsidR="00971D10" w:rsidRPr="00866909" w:rsidRDefault="00971D10" w:rsidP="00971D10">
      <w:pPr>
        <w:ind w:left="2410" w:hanging="2410"/>
        <w:jc w:val="both"/>
        <w:rPr>
          <w:rFonts w:cs="Calibri"/>
          <w:szCs w:val="24"/>
        </w:rPr>
      </w:pPr>
      <w:r w:rsidRPr="00866909">
        <w:rPr>
          <w:rFonts w:cs="Calibri"/>
          <w:szCs w:val="24"/>
        </w:rPr>
        <w:t xml:space="preserve">členové komise:     </w:t>
      </w:r>
      <w:r w:rsidRPr="00866909">
        <w:rPr>
          <w:rFonts w:cs="Calibri"/>
          <w:szCs w:val="24"/>
        </w:rPr>
        <w:tab/>
      </w:r>
    </w:p>
    <w:p w14:paraId="5B828218" w14:textId="77777777" w:rsidR="00971D10" w:rsidRPr="0021620D" w:rsidRDefault="00971D10" w:rsidP="00971D10">
      <w:pPr>
        <w:ind w:left="1276" w:hanging="568"/>
        <w:jc w:val="both"/>
        <w:rPr>
          <w:rFonts w:cs="Calibri"/>
          <w:szCs w:val="24"/>
        </w:rPr>
      </w:pPr>
      <w:bookmarkStart w:id="0" w:name="_Hlk160014302"/>
      <w:r w:rsidRPr="0021620D">
        <w:rPr>
          <w:rFonts w:cs="Calibri"/>
          <w:szCs w:val="24"/>
        </w:rPr>
        <w:t xml:space="preserve">Mgr. Karel Chotovinský, za zřizovatele </w:t>
      </w:r>
    </w:p>
    <w:p w14:paraId="38C5C2F6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bookmarkStart w:id="1" w:name="_Hlk158197475"/>
      <w:bookmarkStart w:id="2" w:name="_Hlk159221465"/>
      <w:bookmarkEnd w:id="0"/>
      <w:r w:rsidRPr="007D2991">
        <w:rPr>
          <w:rFonts w:cs="Calibri"/>
          <w:szCs w:val="24"/>
        </w:rPr>
        <w:t>Mgr. Ladislav Křemen, odborník v oblasti organizace a řízení v</w:t>
      </w:r>
      <w:r>
        <w:rPr>
          <w:rFonts w:cs="Calibri"/>
          <w:szCs w:val="24"/>
        </w:rPr>
        <w:t xml:space="preserve">e </w:t>
      </w:r>
      <w:r w:rsidRPr="007D2991">
        <w:rPr>
          <w:rFonts w:cs="Calibri"/>
          <w:szCs w:val="24"/>
        </w:rPr>
        <w:t>školství, určen ČŠI</w:t>
      </w:r>
    </w:p>
    <w:bookmarkEnd w:id="1"/>
    <w:p w14:paraId="15D534F5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 xml:space="preserve">Ing. Lucie </w:t>
      </w:r>
      <w:proofErr w:type="spellStart"/>
      <w:r w:rsidRPr="007D2991">
        <w:rPr>
          <w:rFonts w:cs="Calibri"/>
          <w:szCs w:val="24"/>
        </w:rPr>
        <w:t>Reitingerová</w:t>
      </w:r>
      <w:proofErr w:type="spellEnd"/>
      <w:r w:rsidRPr="007D2991">
        <w:rPr>
          <w:rFonts w:cs="Calibri"/>
          <w:szCs w:val="24"/>
        </w:rPr>
        <w:t>, odborník v oblasti státní správy</w:t>
      </w:r>
      <w:r>
        <w:rPr>
          <w:rFonts w:cs="Calibri"/>
          <w:szCs w:val="24"/>
        </w:rPr>
        <w:t xml:space="preserve"> /personalista/ psycholog, </w:t>
      </w:r>
      <w:r w:rsidRPr="007D2991">
        <w:rPr>
          <w:rFonts w:cs="Calibri"/>
          <w:szCs w:val="24"/>
        </w:rPr>
        <w:t>určen ČŠI</w:t>
      </w:r>
    </w:p>
    <w:p w14:paraId="2F5D4976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 xml:space="preserve">Mgr. Jiří Holomek, </w:t>
      </w:r>
      <w:r>
        <w:rPr>
          <w:rFonts w:cs="Calibri"/>
          <w:szCs w:val="24"/>
        </w:rPr>
        <w:t xml:space="preserve">školní inspektor, </w:t>
      </w:r>
      <w:r w:rsidRPr="007D2991">
        <w:rPr>
          <w:rFonts w:cs="Calibri"/>
          <w:szCs w:val="24"/>
        </w:rPr>
        <w:t>navržen Jihočeským inspektorátem ČŠI</w:t>
      </w:r>
    </w:p>
    <w:p w14:paraId="28D7FF06" w14:textId="77777777" w:rsidR="00971D10" w:rsidRPr="008B6908" w:rsidRDefault="00971D10" w:rsidP="00971D10">
      <w:pPr>
        <w:ind w:left="1276" w:hanging="568"/>
        <w:jc w:val="both"/>
        <w:rPr>
          <w:rFonts w:cs="Calibri"/>
          <w:szCs w:val="24"/>
        </w:rPr>
      </w:pPr>
      <w:bookmarkStart w:id="3" w:name="_Hlk159261945"/>
      <w:bookmarkEnd w:id="2"/>
      <w:r w:rsidRPr="008B6908">
        <w:rPr>
          <w:rFonts w:cs="Calibri"/>
          <w:szCs w:val="24"/>
        </w:rPr>
        <w:t xml:space="preserve">Mgr. Marcela Dominová, navržena ředitelem KÚ </w:t>
      </w:r>
      <w:proofErr w:type="spellStart"/>
      <w:r w:rsidRPr="008B6908">
        <w:rPr>
          <w:rFonts w:cs="Calibri"/>
          <w:szCs w:val="24"/>
        </w:rPr>
        <w:t>JčK</w:t>
      </w:r>
      <w:proofErr w:type="spellEnd"/>
      <w:r w:rsidRPr="008B6908">
        <w:rPr>
          <w:rFonts w:cs="Calibri"/>
          <w:szCs w:val="24"/>
        </w:rPr>
        <w:t xml:space="preserve"> </w:t>
      </w:r>
    </w:p>
    <w:bookmarkEnd w:id="3"/>
    <w:p w14:paraId="015F43C7" w14:textId="77777777" w:rsidR="00971D10" w:rsidRPr="007D2991" w:rsidRDefault="00971D10" w:rsidP="00971D10">
      <w:pPr>
        <w:ind w:firstLine="70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 xml:space="preserve">Josef Filip, </w:t>
      </w:r>
      <w:bookmarkStart w:id="4" w:name="_Hlk159915470"/>
      <w:r w:rsidRPr="007D2991">
        <w:rPr>
          <w:rFonts w:cs="Calibri"/>
          <w:szCs w:val="24"/>
        </w:rPr>
        <w:t>člen školské rady, zvolený zákonnými zástupci nezletilých žáků</w:t>
      </w:r>
      <w:bookmarkEnd w:id="4"/>
    </w:p>
    <w:p w14:paraId="3EB7DE6B" w14:textId="77777777" w:rsidR="00971D10" w:rsidRDefault="00971D10" w:rsidP="00971D10">
      <w:pPr>
        <w:tabs>
          <w:tab w:val="left" w:pos="2127"/>
        </w:tabs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>Mgr. Jana Pavlíková, navržena za pedagogické pracovníky školy</w:t>
      </w:r>
    </w:p>
    <w:p w14:paraId="2EDC8065" w14:textId="77777777" w:rsidR="00971D10" w:rsidRPr="006510B4" w:rsidRDefault="00971D10" w:rsidP="00971D10">
      <w:pPr>
        <w:jc w:val="both"/>
        <w:rPr>
          <w:rFonts w:cs="Calibri"/>
          <w:b/>
          <w:szCs w:val="24"/>
        </w:rPr>
      </w:pPr>
      <w:r w:rsidRPr="00C91A0D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C91A0D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J</w:t>
      </w:r>
      <w:r w:rsidRPr="006510B4">
        <w:rPr>
          <w:rFonts w:cs="Calibri"/>
          <w:b/>
          <w:szCs w:val="24"/>
        </w:rPr>
        <w:t>menuje</w:t>
      </w:r>
    </w:p>
    <w:p w14:paraId="5C36799B" w14:textId="77777777" w:rsidR="00971D10" w:rsidRPr="006510B4" w:rsidRDefault="00971D10" w:rsidP="00971D10">
      <w:pPr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komisi pro konkursní řízení na pracovní místo ředitel/</w:t>
      </w:r>
      <w:proofErr w:type="spellStart"/>
      <w:r w:rsidRPr="006510B4">
        <w:rPr>
          <w:rFonts w:cs="Calibri"/>
          <w:szCs w:val="24"/>
        </w:rPr>
        <w:t>ka</w:t>
      </w:r>
      <w:proofErr w:type="spellEnd"/>
      <w:r w:rsidRPr="006510B4"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p.o</w:t>
      </w:r>
      <w:proofErr w:type="spellEnd"/>
      <w:r>
        <w:rPr>
          <w:rFonts w:cs="Calibri"/>
          <w:szCs w:val="24"/>
        </w:rPr>
        <w:t>. Základní</w:t>
      </w:r>
      <w:r w:rsidRPr="00C91A0D">
        <w:rPr>
          <w:rFonts w:cs="Calibri"/>
          <w:szCs w:val="24"/>
        </w:rPr>
        <w:t xml:space="preserve"> škol</w:t>
      </w:r>
      <w:r>
        <w:rPr>
          <w:rFonts w:cs="Calibri"/>
          <w:szCs w:val="24"/>
        </w:rPr>
        <w:t>a</w:t>
      </w:r>
      <w:r w:rsidRPr="00C91A0D">
        <w:rPr>
          <w:rFonts w:cs="Calibri"/>
          <w:szCs w:val="24"/>
        </w:rPr>
        <w:t xml:space="preserve"> </w:t>
      </w:r>
      <w:r>
        <w:rPr>
          <w:rFonts w:cs="Calibri"/>
          <w:bCs/>
          <w:szCs w:val="24"/>
        </w:rPr>
        <w:t>Sezimovo Ústí, Školní náměstí 628, okres Tábor</w:t>
      </w:r>
      <w:r w:rsidRPr="006510B4">
        <w:rPr>
          <w:rFonts w:cs="Calibri"/>
          <w:szCs w:val="24"/>
        </w:rPr>
        <w:t>, ve složení:</w:t>
      </w:r>
      <w:r w:rsidRPr="006510B4">
        <w:rPr>
          <w:rFonts w:cs="Calibri"/>
          <w:szCs w:val="24"/>
        </w:rPr>
        <w:tab/>
      </w:r>
    </w:p>
    <w:p w14:paraId="30E4241F" w14:textId="77777777" w:rsidR="00971D10" w:rsidRDefault="00971D10" w:rsidP="00971D10">
      <w:pPr>
        <w:ind w:left="2410" w:hanging="2410"/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předseda komise:</w:t>
      </w:r>
      <w:r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ab/>
      </w:r>
    </w:p>
    <w:p w14:paraId="3B4A99EB" w14:textId="77777777" w:rsidR="00971D10" w:rsidRPr="006510B4" w:rsidRDefault="00971D10" w:rsidP="00971D10">
      <w:pPr>
        <w:ind w:left="2410" w:hanging="1702"/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Mgr. Ing. Martin Doležal</w:t>
      </w:r>
      <w:r>
        <w:rPr>
          <w:rFonts w:cs="Calibri"/>
          <w:szCs w:val="24"/>
        </w:rPr>
        <w:t>, LL.M., starosta města, za zřizovatele</w:t>
      </w:r>
    </w:p>
    <w:p w14:paraId="37FFB259" w14:textId="77777777" w:rsidR="00971D10" w:rsidRPr="00866909" w:rsidRDefault="00971D10" w:rsidP="00971D10">
      <w:pPr>
        <w:ind w:left="2410" w:hanging="2410"/>
        <w:jc w:val="both"/>
        <w:rPr>
          <w:rFonts w:cs="Calibri"/>
          <w:szCs w:val="24"/>
        </w:rPr>
      </w:pPr>
      <w:r w:rsidRPr="00866909">
        <w:rPr>
          <w:rFonts w:cs="Calibri"/>
          <w:szCs w:val="24"/>
        </w:rPr>
        <w:t xml:space="preserve">členové komise:     </w:t>
      </w:r>
      <w:r w:rsidRPr="00866909">
        <w:rPr>
          <w:rFonts w:cs="Calibri"/>
          <w:szCs w:val="24"/>
        </w:rPr>
        <w:tab/>
      </w:r>
    </w:p>
    <w:p w14:paraId="6769E256" w14:textId="77777777" w:rsidR="00971D10" w:rsidRPr="0021620D" w:rsidRDefault="00971D10" w:rsidP="00971D10">
      <w:pPr>
        <w:ind w:left="1276" w:hanging="568"/>
        <w:jc w:val="both"/>
        <w:rPr>
          <w:rFonts w:cs="Calibri"/>
          <w:szCs w:val="24"/>
        </w:rPr>
      </w:pPr>
      <w:r w:rsidRPr="0021620D">
        <w:rPr>
          <w:rFonts w:cs="Calibri"/>
          <w:szCs w:val="24"/>
        </w:rPr>
        <w:t xml:space="preserve">Mgr. Karel Chotovinský, za zřizovatele </w:t>
      </w:r>
    </w:p>
    <w:p w14:paraId="641CED8F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>Mgr. Ladislav Křemen, odborník v oblasti organizace a řízení v</w:t>
      </w:r>
      <w:r>
        <w:rPr>
          <w:rFonts w:cs="Calibri"/>
          <w:szCs w:val="24"/>
        </w:rPr>
        <w:t xml:space="preserve">e </w:t>
      </w:r>
      <w:r w:rsidRPr="007D2991">
        <w:rPr>
          <w:rFonts w:cs="Calibri"/>
          <w:szCs w:val="24"/>
        </w:rPr>
        <w:t>školství, určen ČŠI</w:t>
      </w:r>
    </w:p>
    <w:p w14:paraId="44D26B81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 xml:space="preserve">Ing. Lucie </w:t>
      </w:r>
      <w:proofErr w:type="spellStart"/>
      <w:r w:rsidRPr="007D2991">
        <w:rPr>
          <w:rFonts w:cs="Calibri"/>
          <w:szCs w:val="24"/>
        </w:rPr>
        <w:t>Reitingerová</w:t>
      </w:r>
      <w:proofErr w:type="spellEnd"/>
      <w:r w:rsidRPr="007D2991">
        <w:rPr>
          <w:rFonts w:cs="Calibri"/>
          <w:szCs w:val="24"/>
        </w:rPr>
        <w:t>, odborník v oblasti státní správy</w:t>
      </w:r>
      <w:r>
        <w:rPr>
          <w:rFonts w:cs="Calibri"/>
          <w:szCs w:val="24"/>
        </w:rPr>
        <w:t xml:space="preserve"> /personalista/ psycholog, </w:t>
      </w:r>
      <w:r w:rsidRPr="007D2991">
        <w:rPr>
          <w:rFonts w:cs="Calibri"/>
          <w:szCs w:val="24"/>
        </w:rPr>
        <w:t>určen ČŠI</w:t>
      </w:r>
    </w:p>
    <w:p w14:paraId="5773048F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 xml:space="preserve">Mgr. Jiří Holomek, </w:t>
      </w:r>
      <w:r>
        <w:rPr>
          <w:rFonts w:cs="Calibri"/>
          <w:szCs w:val="24"/>
        </w:rPr>
        <w:t xml:space="preserve">školní inspektor, </w:t>
      </w:r>
      <w:r w:rsidRPr="007D2991">
        <w:rPr>
          <w:rFonts w:cs="Calibri"/>
          <w:szCs w:val="24"/>
        </w:rPr>
        <w:t>navržen Jihočeským inspektorátem ČŠI</w:t>
      </w:r>
    </w:p>
    <w:p w14:paraId="7282D3D6" w14:textId="77777777" w:rsidR="00971D10" w:rsidRPr="008B6908" w:rsidRDefault="00971D10" w:rsidP="00971D10">
      <w:pPr>
        <w:ind w:left="1276" w:hanging="568"/>
        <w:jc w:val="both"/>
        <w:rPr>
          <w:rFonts w:cs="Calibri"/>
          <w:szCs w:val="24"/>
        </w:rPr>
      </w:pPr>
      <w:r w:rsidRPr="008B6908">
        <w:rPr>
          <w:rFonts w:cs="Calibri"/>
          <w:szCs w:val="24"/>
        </w:rPr>
        <w:t xml:space="preserve">Mgr. Marcela Dominová, navržena ředitelem KÚ </w:t>
      </w:r>
      <w:proofErr w:type="spellStart"/>
      <w:r w:rsidRPr="008B6908">
        <w:rPr>
          <w:rFonts w:cs="Calibri"/>
          <w:szCs w:val="24"/>
        </w:rPr>
        <w:t>JčK</w:t>
      </w:r>
      <w:proofErr w:type="spellEnd"/>
      <w:r w:rsidRPr="008B6908">
        <w:rPr>
          <w:rFonts w:cs="Calibri"/>
          <w:szCs w:val="24"/>
        </w:rPr>
        <w:t xml:space="preserve"> </w:t>
      </w:r>
    </w:p>
    <w:p w14:paraId="2005BC8B" w14:textId="77777777" w:rsidR="00971D10" w:rsidRPr="000169C1" w:rsidRDefault="00971D10" w:rsidP="00971D10">
      <w:pPr>
        <w:ind w:left="1276" w:hanging="568"/>
        <w:jc w:val="both"/>
        <w:rPr>
          <w:rFonts w:cs="Calibri"/>
          <w:szCs w:val="24"/>
        </w:rPr>
      </w:pPr>
      <w:r w:rsidRPr="000169C1">
        <w:rPr>
          <w:rFonts w:cs="Calibri"/>
          <w:szCs w:val="24"/>
        </w:rPr>
        <w:t xml:space="preserve">Kateřina Soukupová, </w:t>
      </w:r>
      <w:r w:rsidRPr="007D2991">
        <w:rPr>
          <w:rFonts w:cs="Calibri"/>
          <w:szCs w:val="24"/>
        </w:rPr>
        <w:t>člen školské rady, zvolen</w:t>
      </w:r>
      <w:r>
        <w:rPr>
          <w:rFonts w:cs="Calibri"/>
          <w:szCs w:val="24"/>
        </w:rPr>
        <w:t>a</w:t>
      </w:r>
      <w:r w:rsidRPr="007D2991">
        <w:rPr>
          <w:rFonts w:cs="Calibri"/>
          <w:szCs w:val="24"/>
        </w:rPr>
        <w:t xml:space="preserve"> zákonnými zástupci nezletilých žáků</w:t>
      </w:r>
    </w:p>
    <w:p w14:paraId="171EE775" w14:textId="77777777" w:rsidR="00971D10" w:rsidRDefault="00971D10" w:rsidP="00971D10">
      <w:pPr>
        <w:tabs>
          <w:tab w:val="left" w:pos="2127"/>
        </w:tabs>
        <w:ind w:left="1276" w:hanging="568"/>
        <w:jc w:val="both"/>
        <w:rPr>
          <w:rFonts w:cs="Calibri"/>
          <w:szCs w:val="24"/>
        </w:rPr>
      </w:pPr>
      <w:r w:rsidRPr="000169C1">
        <w:rPr>
          <w:rFonts w:cs="Calibri"/>
          <w:szCs w:val="24"/>
        </w:rPr>
        <w:t>Mgr. Petra Svatoňová, navržena za pedagogické pracovníky školy</w:t>
      </w:r>
    </w:p>
    <w:p w14:paraId="17A22782" w14:textId="77777777" w:rsidR="00971D10" w:rsidRPr="006510B4" w:rsidRDefault="00971D10" w:rsidP="00971D10">
      <w:pPr>
        <w:jc w:val="both"/>
        <w:rPr>
          <w:rFonts w:cs="Calibri"/>
          <w:b/>
          <w:szCs w:val="24"/>
        </w:rPr>
      </w:pPr>
      <w:r w:rsidRPr="00C91A0D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II</w:t>
      </w:r>
      <w:r w:rsidRPr="00C91A0D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J</w:t>
      </w:r>
      <w:r w:rsidRPr="006510B4">
        <w:rPr>
          <w:rFonts w:cs="Calibri"/>
          <w:b/>
          <w:szCs w:val="24"/>
        </w:rPr>
        <w:t>menuje</w:t>
      </w:r>
    </w:p>
    <w:p w14:paraId="42D25BF3" w14:textId="77777777" w:rsidR="00971D10" w:rsidRPr="006510B4" w:rsidRDefault="00971D10" w:rsidP="00971D10">
      <w:pPr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komisi pro konkursní řízení na pracovní místo ředitel/</w:t>
      </w:r>
      <w:proofErr w:type="spellStart"/>
      <w:r w:rsidRPr="006510B4">
        <w:rPr>
          <w:rFonts w:cs="Calibri"/>
          <w:szCs w:val="24"/>
        </w:rPr>
        <w:t>ka</w:t>
      </w:r>
      <w:proofErr w:type="spellEnd"/>
      <w:r w:rsidRPr="006510B4"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p.o</w:t>
      </w:r>
      <w:proofErr w:type="spellEnd"/>
      <w:r>
        <w:rPr>
          <w:rFonts w:cs="Calibri"/>
          <w:szCs w:val="24"/>
        </w:rPr>
        <w:t>. Základní</w:t>
      </w:r>
      <w:r w:rsidRPr="00C91A0D">
        <w:rPr>
          <w:rFonts w:cs="Calibri"/>
          <w:szCs w:val="24"/>
        </w:rPr>
        <w:t xml:space="preserve"> škol</w:t>
      </w:r>
      <w:r>
        <w:rPr>
          <w:rFonts w:cs="Calibri"/>
          <w:szCs w:val="24"/>
        </w:rPr>
        <w:t>y</w:t>
      </w:r>
      <w:r w:rsidRPr="00C91A0D">
        <w:rPr>
          <w:rFonts w:cs="Calibri"/>
          <w:szCs w:val="24"/>
        </w:rPr>
        <w:t xml:space="preserve"> </w:t>
      </w:r>
      <w:r>
        <w:rPr>
          <w:rFonts w:cs="Calibri"/>
          <w:bCs/>
          <w:szCs w:val="24"/>
        </w:rPr>
        <w:t>Sezimovo Ústí, Švehlova 111, okres Tábor</w:t>
      </w:r>
      <w:r w:rsidRPr="006510B4">
        <w:rPr>
          <w:rFonts w:cs="Calibri"/>
          <w:szCs w:val="24"/>
        </w:rPr>
        <w:t>, ve složení:</w:t>
      </w:r>
      <w:r w:rsidRPr="006510B4">
        <w:rPr>
          <w:rFonts w:cs="Calibri"/>
          <w:szCs w:val="24"/>
        </w:rPr>
        <w:tab/>
      </w:r>
    </w:p>
    <w:p w14:paraId="1B1E5C2F" w14:textId="77777777" w:rsidR="00971D10" w:rsidRDefault="00971D10" w:rsidP="00971D10">
      <w:pPr>
        <w:ind w:left="2410" w:hanging="2410"/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předseda komise:</w:t>
      </w:r>
      <w:r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ab/>
      </w:r>
    </w:p>
    <w:p w14:paraId="76C347EB" w14:textId="77777777" w:rsidR="00971D10" w:rsidRPr="006510B4" w:rsidRDefault="00971D10" w:rsidP="00971D10">
      <w:pPr>
        <w:ind w:left="2410" w:hanging="1702"/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Mgr. Ing. Martin Doležal</w:t>
      </w:r>
      <w:r>
        <w:rPr>
          <w:rFonts w:cs="Calibri"/>
          <w:szCs w:val="24"/>
        </w:rPr>
        <w:t>, LL.M., starosta města, za zřizovatele</w:t>
      </w:r>
    </w:p>
    <w:p w14:paraId="3CAB0233" w14:textId="77777777" w:rsidR="00971D10" w:rsidRPr="00866909" w:rsidRDefault="00971D10" w:rsidP="00971D10">
      <w:pPr>
        <w:ind w:left="2410" w:hanging="2410"/>
        <w:jc w:val="both"/>
        <w:rPr>
          <w:rFonts w:cs="Calibri"/>
          <w:szCs w:val="24"/>
        </w:rPr>
      </w:pPr>
      <w:r w:rsidRPr="00866909">
        <w:rPr>
          <w:rFonts w:cs="Calibri"/>
          <w:szCs w:val="24"/>
        </w:rPr>
        <w:t xml:space="preserve">členové komise:     </w:t>
      </w:r>
      <w:r w:rsidRPr="00866909">
        <w:rPr>
          <w:rFonts w:cs="Calibri"/>
          <w:szCs w:val="24"/>
        </w:rPr>
        <w:tab/>
      </w:r>
    </w:p>
    <w:p w14:paraId="078033E0" w14:textId="77777777" w:rsidR="00971D10" w:rsidRPr="0021620D" w:rsidRDefault="00971D10" w:rsidP="00971D10">
      <w:pPr>
        <w:ind w:left="1276" w:hanging="568"/>
        <w:jc w:val="both"/>
        <w:rPr>
          <w:rFonts w:cs="Calibri"/>
          <w:szCs w:val="24"/>
        </w:rPr>
      </w:pPr>
      <w:r w:rsidRPr="0021620D">
        <w:rPr>
          <w:rFonts w:cs="Calibri"/>
          <w:szCs w:val="24"/>
        </w:rPr>
        <w:t xml:space="preserve">Mgr. Karel Chotovinský, za zřizovatele </w:t>
      </w:r>
    </w:p>
    <w:p w14:paraId="5C52C794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>Mgr. Ladislav Křemen, odborník v oblasti organizace a řízení v</w:t>
      </w:r>
      <w:r>
        <w:rPr>
          <w:rFonts w:cs="Calibri"/>
          <w:szCs w:val="24"/>
        </w:rPr>
        <w:t xml:space="preserve">e </w:t>
      </w:r>
      <w:r w:rsidRPr="007D2991">
        <w:rPr>
          <w:rFonts w:cs="Calibri"/>
          <w:szCs w:val="24"/>
        </w:rPr>
        <w:t>školství, určen ČŠI</w:t>
      </w:r>
    </w:p>
    <w:p w14:paraId="6EBF633C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lastRenderedPageBreak/>
        <w:t xml:space="preserve">Ing. Lucie </w:t>
      </w:r>
      <w:proofErr w:type="spellStart"/>
      <w:r w:rsidRPr="007D2991">
        <w:rPr>
          <w:rFonts w:cs="Calibri"/>
          <w:szCs w:val="24"/>
        </w:rPr>
        <w:t>Reitingerová</w:t>
      </w:r>
      <w:proofErr w:type="spellEnd"/>
      <w:r w:rsidRPr="007D2991">
        <w:rPr>
          <w:rFonts w:cs="Calibri"/>
          <w:szCs w:val="24"/>
        </w:rPr>
        <w:t>, odborník v oblasti státní správy</w:t>
      </w:r>
      <w:r>
        <w:rPr>
          <w:rFonts w:cs="Calibri"/>
          <w:szCs w:val="24"/>
        </w:rPr>
        <w:t xml:space="preserve"> /personalista/ psycholog, </w:t>
      </w:r>
      <w:r w:rsidRPr="007D2991">
        <w:rPr>
          <w:rFonts w:cs="Calibri"/>
          <w:szCs w:val="24"/>
        </w:rPr>
        <w:t>určen ČŠI</w:t>
      </w:r>
    </w:p>
    <w:p w14:paraId="3F4EF945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 xml:space="preserve">Mgr. Jiří Holomek, </w:t>
      </w:r>
      <w:r>
        <w:rPr>
          <w:rFonts w:cs="Calibri"/>
          <w:szCs w:val="24"/>
        </w:rPr>
        <w:t xml:space="preserve">školní inspektor, </w:t>
      </w:r>
      <w:r w:rsidRPr="007D2991">
        <w:rPr>
          <w:rFonts w:cs="Calibri"/>
          <w:szCs w:val="24"/>
        </w:rPr>
        <w:t>navržen Jihočeským inspektorátem ČŠI</w:t>
      </w:r>
    </w:p>
    <w:p w14:paraId="53BDAB4D" w14:textId="77777777" w:rsidR="00971D10" w:rsidRPr="008B6908" w:rsidRDefault="00971D10" w:rsidP="00971D10">
      <w:pPr>
        <w:ind w:left="1276" w:hanging="568"/>
        <w:jc w:val="both"/>
        <w:rPr>
          <w:rFonts w:cs="Calibri"/>
          <w:szCs w:val="24"/>
        </w:rPr>
      </w:pPr>
      <w:r w:rsidRPr="008B6908">
        <w:rPr>
          <w:rFonts w:cs="Calibri"/>
          <w:szCs w:val="24"/>
        </w:rPr>
        <w:t xml:space="preserve">Mgr. Marcela Dominová, navržena ředitelem KÚ </w:t>
      </w:r>
      <w:proofErr w:type="spellStart"/>
      <w:r w:rsidRPr="008B6908">
        <w:rPr>
          <w:rFonts w:cs="Calibri"/>
          <w:szCs w:val="24"/>
        </w:rPr>
        <w:t>JčK</w:t>
      </w:r>
      <w:proofErr w:type="spellEnd"/>
      <w:r w:rsidRPr="008B6908">
        <w:rPr>
          <w:rFonts w:cs="Calibri"/>
          <w:szCs w:val="24"/>
        </w:rPr>
        <w:t xml:space="preserve"> </w:t>
      </w:r>
    </w:p>
    <w:p w14:paraId="2E617DA5" w14:textId="77777777" w:rsidR="00971D10" w:rsidRPr="000B5D5F" w:rsidRDefault="00971D10" w:rsidP="00971D10">
      <w:pPr>
        <w:ind w:left="1276" w:hanging="568"/>
        <w:jc w:val="both"/>
        <w:rPr>
          <w:rFonts w:cs="Calibri"/>
          <w:szCs w:val="24"/>
        </w:rPr>
      </w:pPr>
      <w:r w:rsidRPr="000B5D5F">
        <w:rPr>
          <w:rFonts w:cs="Calibri"/>
          <w:szCs w:val="24"/>
        </w:rPr>
        <w:t>Zdeněk Ziegler, člen školské rady, zvolený zákonnými zástupci nezletilých žáků</w:t>
      </w:r>
    </w:p>
    <w:p w14:paraId="6D1DE028" w14:textId="77777777" w:rsidR="00971D10" w:rsidRDefault="00971D10" w:rsidP="00971D10">
      <w:pPr>
        <w:tabs>
          <w:tab w:val="left" w:pos="2127"/>
        </w:tabs>
        <w:ind w:left="1276" w:hanging="568"/>
        <w:jc w:val="both"/>
        <w:rPr>
          <w:rFonts w:cs="Calibri"/>
          <w:szCs w:val="24"/>
        </w:rPr>
      </w:pPr>
      <w:r w:rsidRPr="000B5D5F">
        <w:rPr>
          <w:rFonts w:cs="Calibri"/>
          <w:szCs w:val="24"/>
        </w:rPr>
        <w:t xml:space="preserve">Mgr. Klára </w:t>
      </w:r>
      <w:proofErr w:type="spellStart"/>
      <w:r w:rsidRPr="000B5D5F">
        <w:rPr>
          <w:rFonts w:cs="Calibri"/>
          <w:szCs w:val="24"/>
        </w:rPr>
        <w:t>Choulíková</w:t>
      </w:r>
      <w:proofErr w:type="spellEnd"/>
      <w:r w:rsidRPr="000B5D5F">
        <w:rPr>
          <w:rFonts w:cs="Calibri"/>
          <w:szCs w:val="24"/>
        </w:rPr>
        <w:t>, navržena za pedagogické pracovníky školy</w:t>
      </w:r>
    </w:p>
    <w:p w14:paraId="2E2D47BB" w14:textId="77777777" w:rsidR="00971D10" w:rsidRPr="006510B4" w:rsidRDefault="00971D10" w:rsidP="00971D10">
      <w:pPr>
        <w:jc w:val="both"/>
        <w:rPr>
          <w:rFonts w:cs="Calibri"/>
          <w:b/>
          <w:szCs w:val="24"/>
        </w:rPr>
      </w:pPr>
      <w:r w:rsidRPr="00C91A0D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V</w:t>
      </w:r>
      <w:r w:rsidRPr="00C91A0D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J</w:t>
      </w:r>
      <w:r w:rsidRPr="006510B4">
        <w:rPr>
          <w:rFonts w:cs="Calibri"/>
          <w:b/>
          <w:szCs w:val="24"/>
        </w:rPr>
        <w:t>menuje</w:t>
      </w:r>
    </w:p>
    <w:p w14:paraId="1A25ABAD" w14:textId="77777777" w:rsidR="00971D10" w:rsidRPr="006510B4" w:rsidRDefault="00971D10" w:rsidP="00971D10">
      <w:pPr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komisi pro konkursní řízení na pracovní místo ředitel/</w:t>
      </w:r>
      <w:proofErr w:type="spellStart"/>
      <w:r w:rsidRPr="006510B4">
        <w:rPr>
          <w:rFonts w:cs="Calibri"/>
          <w:szCs w:val="24"/>
        </w:rPr>
        <w:t>ka</w:t>
      </w:r>
      <w:proofErr w:type="spellEnd"/>
      <w:r w:rsidRPr="006510B4"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p.o</w:t>
      </w:r>
      <w:proofErr w:type="spellEnd"/>
      <w:r>
        <w:rPr>
          <w:rFonts w:cs="Calibri"/>
          <w:szCs w:val="24"/>
        </w:rPr>
        <w:t>. Mateřská škola Zahrádka Sezimovo Ústí, Kaplického 1037</w:t>
      </w:r>
      <w:r w:rsidRPr="006510B4">
        <w:rPr>
          <w:rFonts w:cs="Calibri"/>
          <w:szCs w:val="24"/>
        </w:rPr>
        <w:t>, ve složení:</w:t>
      </w:r>
      <w:r w:rsidRPr="006510B4">
        <w:rPr>
          <w:rFonts w:cs="Calibri"/>
          <w:szCs w:val="24"/>
        </w:rPr>
        <w:tab/>
      </w:r>
    </w:p>
    <w:p w14:paraId="3237BE0D" w14:textId="77777777" w:rsidR="00971D10" w:rsidRDefault="00971D10" w:rsidP="00971D10">
      <w:pPr>
        <w:ind w:left="2410" w:hanging="2410"/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předseda komise:</w:t>
      </w:r>
      <w:r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ab/>
      </w:r>
    </w:p>
    <w:p w14:paraId="1F82C706" w14:textId="77777777" w:rsidR="00971D10" w:rsidRPr="006510B4" w:rsidRDefault="00971D10" w:rsidP="00971D10">
      <w:pPr>
        <w:ind w:left="2410" w:hanging="1702"/>
        <w:jc w:val="both"/>
        <w:rPr>
          <w:rFonts w:cs="Calibri"/>
          <w:szCs w:val="24"/>
        </w:rPr>
      </w:pPr>
      <w:r w:rsidRPr="006510B4">
        <w:rPr>
          <w:rFonts w:cs="Calibri"/>
          <w:szCs w:val="24"/>
        </w:rPr>
        <w:t>Mgr. Ing. Martin Doležal</w:t>
      </w:r>
      <w:r>
        <w:rPr>
          <w:rFonts w:cs="Calibri"/>
          <w:szCs w:val="24"/>
        </w:rPr>
        <w:t>, LL.M., starosta města, za zřizovatele</w:t>
      </w:r>
    </w:p>
    <w:p w14:paraId="771A03E6" w14:textId="77777777" w:rsidR="00971D10" w:rsidRPr="00866909" w:rsidRDefault="00971D10" w:rsidP="00971D10">
      <w:pPr>
        <w:ind w:left="2410" w:hanging="2410"/>
        <w:jc w:val="both"/>
        <w:rPr>
          <w:rFonts w:cs="Calibri"/>
          <w:szCs w:val="24"/>
        </w:rPr>
      </w:pPr>
      <w:r w:rsidRPr="00866909">
        <w:rPr>
          <w:rFonts w:cs="Calibri"/>
          <w:szCs w:val="24"/>
        </w:rPr>
        <w:t xml:space="preserve">členové komise:     </w:t>
      </w:r>
      <w:r w:rsidRPr="00866909">
        <w:rPr>
          <w:rFonts w:cs="Calibri"/>
          <w:szCs w:val="24"/>
        </w:rPr>
        <w:tab/>
      </w:r>
    </w:p>
    <w:p w14:paraId="3C147CC6" w14:textId="77777777" w:rsidR="00971D10" w:rsidRPr="0021620D" w:rsidRDefault="00971D10" w:rsidP="00971D10">
      <w:pPr>
        <w:ind w:left="1276" w:hanging="568"/>
        <w:jc w:val="both"/>
        <w:rPr>
          <w:rFonts w:cs="Calibri"/>
          <w:szCs w:val="24"/>
        </w:rPr>
      </w:pPr>
      <w:r w:rsidRPr="0021620D">
        <w:rPr>
          <w:rFonts w:cs="Calibri"/>
          <w:szCs w:val="24"/>
        </w:rPr>
        <w:t xml:space="preserve">Mgr. Karel Chotovinský, za zřizovatele </w:t>
      </w:r>
    </w:p>
    <w:p w14:paraId="79039942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>Mgr. Ladislav Křemen, odborník v oblasti organizace a řízení v</w:t>
      </w:r>
      <w:r>
        <w:rPr>
          <w:rFonts w:cs="Calibri"/>
          <w:szCs w:val="24"/>
        </w:rPr>
        <w:t xml:space="preserve">e </w:t>
      </w:r>
      <w:r w:rsidRPr="007D2991">
        <w:rPr>
          <w:rFonts w:cs="Calibri"/>
          <w:szCs w:val="24"/>
        </w:rPr>
        <w:t>školství, určen ČŠI</w:t>
      </w:r>
    </w:p>
    <w:p w14:paraId="1A1B774F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 xml:space="preserve">Ing. Lucie </w:t>
      </w:r>
      <w:proofErr w:type="spellStart"/>
      <w:r w:rsidRPr="007D2991">
        <w:rPr>
          <w:rFonts w:cs="Calibri"/>
          <w:szCs w:val="24"/>
        </w:rPr>
        <w:t>Reitingerová</w:t>
      </w:r>
      <w:proofErr w:type="spellEnd"/>
      <w:r w:rsidRPr="007D2991">
        <w:rPr>
          <w:rFonts w:cs="Calibri"/>
          <w:szCs w:val="24"/>
        </w:rPr>
        <w:t>, odborník v oblasti státní správy</w:t>
      </w:r>
      <w:r>
        <w:rPr>
          <w:rFonts w:cs="Calibri"/>
          <w:szCs w:val="24"/>
        </w:rPr>
        <w:t xml:space="preserve"> /personalista/ psycholog, </w:t>
      </w:r>
      <w:r w:rsidRPr="007D2991">
        <w:rPr>
          <w:rFonts w:cs="Calibri"/>
          <w:szCs w:val="24"/>
        </w:rPr>
        <w:t>určen ČŠI</w:t>
      </w:r>
    </w:p>
    <w:p w14:paraId="2ABCCEC4" w14:textId="77777777" w:rsidR="00971D10" w:rsidRPr="007D2991" w:rsidRDefault="00971D10" w:rsidP="00971D10">
      <w:pPr>
        <w:ind w:left="1276" w:hanging="568"/>
        <w:jc w:val="both"/>
        <w:rPr>
          <w:rFonts w:cs="Calibri"/>
          <w:szCs w:val="24"/>
        </w:rPr>
      </w:pPr>
      <w:r w:rsidRPr="007D2991">
        <w:rPr>
          <w:rFonts w:cs="Calibri"/>
          <w:szCs w:val="24"/>
        </w:rPr>
        <w:t xml:space="preserve">Mgr. Jiří Holomek, </w:t>
      </w:r>
      <w:r>
        <w:rPr>
          <w:rFonts w:cs="Calibri"/>
          <w:szCs w:val="24"/>
        </w:rPr>
        <w:t xml:space="preserve">školní inspektor, </w:t>
      </w:r>
      <w:r w:rsidRPr="007D2991">
        <w:rPr>
          <w:rFonts w:cs="Calibri"/>
          <w:szCs w:val="24"/>
        </w:rPr>
        <w:t>navržen Jihočeským inspektorátem ČŠI</w:t>
      </w:r>
    </w:p>
    <w:p w14:paraId="28551078" w14:textId="77777777" w:rsidR="00971D10" w:rsidRDefault="00971D10" w:rsidP="00971D10">
      <w:pPr>
        <w:ind w:left="1276" w:hanging="568"/>
        <w:jc w:val="both"/>
        <w:rPr>
          <w:rFonts w:cs="Calibri"/>
          <w:szCs w:val="24"/>
        </w:rPr>
      </w:pPr>
      <w:r w:rsidRPr="008B6908">
        <w:rPr>
          <w:rFonts w:cs="Calibri"/>
          <w:szCs w:val="24"/>
        </w:rPr>
        <w:t>Mgr. M</w:t>
      </w:r>
      <w:r>
        <w:rPr>
          <w:rFonts w:cs="Calibri"/>
          <w:szCs w:val="24"/>
        </w:rPr>
        <w:t>ilena</w:t>
      </w:r>
      <w:r w:rsidRPr="008B6908">
        <w:rPr>
          <w:rFonts w:cs="Calibri"/>
          <w:szCs w:val="24"/>
        </w:rPr>
        <w:t xml:space="preserve"> </w:t>
      </w:r>
      <w:proofErr w:type="spellStart"/>
      <w:r>
        <w:rPr>
          <w:rFonts w:cs="Calibri"/>
          <w:szCs w:val="24"/>
        </w:rPr>
        <w:t>Skřičilová</w:t>
      </w:r>
      <w:proofErr w:type="spellEnd"/>
      <w:r w:rsidRPr="008B6908">
        <w:rPr>
          <w:rFonts w:cs="Calibri"/>
          <w:szCs w:val="24"/>
        </w:rPr>
        <w:t xml:space="preserve">, navržena ředitelem KÚ </w:t>
      </w:r>
      <w:proofErr w:type="spellStart"/>
      <w:r w:rsidRPr="008B6908">
        <w:rPr>
          <w:rFonts w:cs="Calibri"/>
          <w:szCs w:val="24"/>
        </w:rPr>
        <w:t>JčK</w:t>
      </w:r>
      <w:proofErr w:type="spellEnd"/>
      <w:r w:rsidRPr="008B6908">
        <w:rPr>
          <w:rFonts w:cs="Calibri"/>
          <w:szCs w:val="24"/>
        </w:rPr>
        <w:t xml:space="preserve"> </w:t>
      </w:r>
    </w:p>
    <w:p w14:paraId="62658835" w14:textId="77777777" w:rsidR="00971D10" w:rsidRPr="006510B4" w:rsidRDefault="00971D10" w:rsidP="00971D10">
      <w:pPr>
        <w:tabs>
          <w:tab w:val="left" w:pos="2127"/>
        </w:tabs>
        <w:ind w:left="1276" w:hanging="568"/>
        <w:jc w:val="both"/>
        <w:rPr>
          <w:rFonts w:cs="Calibri"/>
          <w:szCs w:val="24"/>
        </w:rPr>
      </w:pPr>
      <w:r w:rsidRPr="00866909">
        <w:rPr>
          <w:rFonts w:cs="Calibri"/>
          <w:szCs w:val="24"/>
        </w:rPr>
        <w:t>Jitka Břečková, náhradník Ivana Jirmusová, navrženy za pedagogické pracovníky školy</w:t>
      </w:r>
    </w:p>
    <w:p w14:paraId="26D6B08A" w14:textId="4C0E5DA5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7CE1B985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C52C351" w14:textId="3344B951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Zápisy č. 7 a 8 z jednání komise na ochranu ŽP (mat. č. 66/2024)</w:t>
      </w:r>
    </w:p>
    <w:p w14:paraId="3DD01C8D" w14:textId="53142444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3E40FC2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76CE303" w14:textId="77777777" w:rsidR="00C5030B" w:rsidRPr="00BA740D" w:rsidRDefault="00C5030B" w:rsidP="00C5030B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674DBF48" w14:textId="77777777" w:rsidR="00C5030B" w:rsidRPr="00BA740D" w:rsidRDefault="00C5030B" w:rsidP="00C5030B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předložený zápisy ze 7. a 8</w:t>
      </w:r>
      <w:r w:rsidRPr="00BA740D">
        <w:rPr>
          <w:rFonts w:cs="Calibri"/>
          <w:szCs w:val="24"/>
        </w:rPr>
        <w:t>. schůze komise na ochranu životního prostředí a závěry v n</w:t>
      </w:r>
      <w:r>
        <w:rPr>
          <w:rFonts w:cs="Calibri"/>
          <w:szCs w:val="24"/>
        </w:rPr>
        <w:t>ich</w:t>
      </w:r>
      <w:r w:rsidRPr="00BA740D">
        <w:rPr>
          <w:rFonts w:cs="Calibri"/>
          <w:szCs w:val="24"/>
        </w:rPr>
        <w:t xml:space="preserve"> uvedené.</w:t>
      </w:r>
    </w:p>
    <w:p w14:paraId="0F3D6AB5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444230B8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E1BA941" w14:textId="72054FC6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Odkup podílu na pozemku Kociánka (mat. č. 67/2024)</w:t>
      </w:r>
    </w:p>
    <w:p w14:paraId="38466A84" w14:textId="54719FE2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0712CA3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7EAFB36" w14:textId="77777777" w:rsidR="00C5030B" w:rsidRPr="003602C6" w:rsidRDefault="00C5030B" w:rsidP="00C5030B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4CB40FAC" w14:textId="77777777" w:rsidR="00C5030B" w:rsidRPr="003602C6" w:rsidRDefault="00C5030B" w:rsidP="00C5030B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ZM k projednání k</w:t>
      </w:r>
      <w:r w:rsidRPr="003602C6">
        <w:rPr>
          <w:rFonts w:cs="Calibri"/>
          <w:bCs/>
          <w:szCs w:val="24"/>
        </w:rPr>
        <w:t>oup</w:t>
      </w:r>
      <w:r>
        <w:rPr>
          <w:rFonts w:cs="Calibri"/>
          <w:bCs/>
          <w:szCs w:val="24"/>
        </w:rPr>
        <w:t>i</w:t>
      </w:r>
      <w:r w:rsidRPr="003602C6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 xml:space="preserve">podílů na </w:t>
      </w:r>
      <w:r w:rsidRPr="003602C6">
        <w:rPr>
          <w:rFonts w:cs="Calibri"/>
          <w:bCs/>
          <w:szCs w:val="24"/>
        </w:rPr>
        <w:t>pozem</w:t>
      </w:r>
      <w:r>
        <w:rPr>
          <w:rFonts w:cs="Calibri"/>
          <w:bCs/>
          <w:szCs w:val="24"/>
        </w:rPr>
        <w:t>cích</w:t>
      </w:r>
      <w:r w:rsidRPr="003602C6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uvedených v důvodové zprávě za tam uvedených podmínek</w:t>
      </w:r>
      <w:r w:rsidRPr="003602C6">
        <w:rPr>
          <w:rFonts w:cs="Calibri"/>
          <w:bCs/>
          <w:szCs w:val="24"/>
        </w:rPr>
        <w:t>.</w:t>
      </w:r>
    </w:p>
    <w:p w14:paraId="10CA2529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68934024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639109B" w14:textId="618AB7C9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1538E">
        <w:rPr>
          <w:rFonts w:asciiTheme="minorHAnsi" w:hAnsiTheme="minorHAnsi" w:cstheme="minorHAnsi"/>
          <w:b/>
          <w:bCs/>
          <w:szCs w:val="24"/>
        </w:rPr>
        <w:t>Rekonstrukce ulice Pionýrů – výběr zhotovitele PD (mat. č. 68/2024)</w:t>
      </w:r>
    </w:p>
    <w:p w14:paraId="41119795" w14:textId="39AD2F94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AF0FD5A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8F450C6" w14:textId="77777777" w:rsidR="00C5030B" w:rsidRDefault="00C5030B" w:rsidP="00C5030B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Bere na vědomí  </w:t>
      </w:r>
    </w:p>
    <w:p w14:paraId="1FCB6CB6" w14:textId="77777777" w:rsidR="00C5030B" w:rsidRDefault="00C5030B" w:rsidP="00C5030B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zprávu z otevírání obálek s nabídkami a hodnocení nabídek týkající se výběrového řízení na výběr dodavatele na zakázku: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>Projektová dokumentace ulice Pionýrů</w:t>
      </w:r>
      <w:r w:rsidRPr="0060738A">
        <w:rPr>
          <w:rFonts w:cs="Calibri"/>
          <w:szCs w:val="24"/>
        </w:rPr>
        <w:t>“</w:t>
      </w:r>
      <w:r>
        <w:rPr>
          <w:rFonts w:cs="Calibri"/>
          <w:szCs w:val="24"/>
        </w:rPr>
        <w:t>.</w:t>
      </w:r>
    </w:p>
    <w:p w14:paraId="6A3457CF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2145C905" w14:textId="77777777" w:rsidR="000A1E66" w:rsidRDefault="000A1E66" w:rsidP="00F70F59">
      <w:pPr>
        <w:contextualSpacing/>
        <w:jc w:val="both"/>
        <w:rPr>
          <w:rFonts w:cs="Calibri"/>
          <w:szCs w:val="24"/>
        </w:rPr>
      </w:pPr>
    </w:p>
    <w:p w14:paraId="64D13ECF" w14:textId="5D017BC2" w:rsidR="00F44600" w:rsidRPr="00F44600" w:rsidRDefault="00F44600" w:rsidP="00F4460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44600">
        <w:rPr>
          <w:rFonts w:asciiTheme="minorHAnsi" w:hAnsiTheme="minorHAnsi" w:cstheme="minorHAnsi"/>
          <w:b/>
          <w:bCs/>
          <w:szCs w:val="24"/>
        </w:rPr>
        <w:t>Zápis Likvidační komise RM Sezimovo Ústí (likvidační protokoly) ze dne 21.02.2024 (mat. č. 69/2024)</w:t>
      </w:r>
    </w:p>
    <w:p w14:paraId="6F18AD4C" w14:textId="5F1323CC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69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0BD425C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917461C" w14:textId="77777777" w:rsidR="00B1538E" w:rsidRPr="00BE3214" w:rsidRDefault="00B1538E" w:rsidP="00B1538E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1CE9828E" w14:textId="014A6EB8" w:rsidR="00B1538E" w:rsidRPr="006A5647" w:rsidRDefault="00B1538E" w:rsidP="00B1538E">
      <w:pPr>
        <w:jc w:val="both"/>
        <w:rPr>
          <w:rFonts w:cs="Calibri"/>
          <w:szCs w:val="24"/>
        </w:rPr>
      </w:pPr>
      <w:r w:rsidRPr="00950E28">
        <w:rPr>
          <w:rFonts w:cs="Calibri"/>
          <w:szCs w:val="24"/>
        </w:rPr>
        <w:t xml:space="preserve">likvidaci věcí uvedených v zápise </w:t>
      </w:r>
      <w:r>
        <w:rPr>
          <w:rFonts w:cs="Calibri"/>
          <w:szCs w:val="24"/>
        </w:rPr>
        <w:t>L</w:t>
      </w:r>
      <w:r w:rsidRPr="00950E28">
        <w:rPr>
          <w:rFonts w:cs="Calibri"/>
          <w:szCs w:val="24"/>
        </w:rPr>
        <w:t xml:space="preserve">ikvidační komise RM Sezimovo Ústí ze dne </w:t>
      </w:r>
      <w:r w:rsidRPr="00B1538E">
        <w:rPr>
          <w:rFonts w:cs="Calibri"/>
          <w:bCs/>
          <w:szCs w:val="24"/>
        </w:rPr>
        <w:t>21.02.2024</w:t>
      </w:r>
      <w:r>
        <w:rPr>
          <w:rFonts w:cs="Calibri"/>
          <w:b/>
          <w:szCs w:val="24"/>
        </w:rPr>
        <w:t xml:space="preserve"> </w:t>
      </w:r>
      <w:r w:rsidRPr="006A5647">
        <w:rPr>
          <w:rFonts w:cs="Calibri"/>
          <w:szCs w:val="24"/>
        </w:rPr>
        <w:t>navrženým způsobem.</w:t>
      </w:r>
    </w:p>
    <w:p w14:paraId="17A77FBE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lastRenderedPageBreak/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16375A4A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97DAC8B" w14:textId="1F61685B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Výběrové řízení na byt č. 490/18, ulice Lipová, Sezimovo Ústí (mat. č. 70/2024)</w:t>
      </w:r>
    </w:p>
    <w:p w14:paraId="48DE0717" w14:textId="45DC8795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8C2D76C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DD31F38" w14:textId="77777777" w:rsidR="003B45FF" w:rsidRPr="00BA510C" w:rsidRDefault="003B45FF" w:rsidP="003B45FF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47616B74" w14:textId="79175A1C" w:rsidR="003B45FF" w:rsidRPr="00FD7F8E" w:rsidRDefault="003B45FF" w:rsidP="003B45FF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490/18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Lipová</w:t>
      </w:r>
      <w:r w:rsidRPr="00FD7F8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D7F8E">
        <w:rPr>
          <w:sz w:val="24"/>
          <w:szCs w:val="24"/>
        </w:rPr>
        <w:t xml:space="preserve">č. p. </w:t>
      </w:r>
      <w:r>
        <w:rPr>
          <w:sz w:val="24"/>
          <w:szCs w:val="24"/>
        </w:rPr>
        <w:t>490,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2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4.429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35CF0A73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542CC6F8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55511069" w14:textId="365A51DB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Výběrové řízení na byt č. 494/02, ulice Lipová, Sezimovo Ústí (mat. č. 71/2024)</w:t>
      </w:r>
    </w:p>
    <w:p w14:paraId="727E06B5" w14:textId="7824BA5E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7D43C32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5A53FDB" w14:textId="77777777" w:rsidR="003B45FF" w:rsidRPr="00BA510C" w:rsidRDefault="003B45FF" w:rsidP="003B45FF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7F8F6F11" w14:textId="234A6BD4" w:rsidR="003B45FF" w:rsidRPr="00FD7F8E" w:rsidRDefault="003B45FF" w:rsidP="003B45FF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494/02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Lipová</w:t>
      </w:r>
      <w:r w:rsidRPr="00FD7F8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D7F8E">
        <w:rPr>
          <w:sz w:val="24"/>
          <w:szCs w:val="24"/>
        </w:rPr>
        <w:t xml:space="preserve">č. p. </w:t>
      </w:r>
      <w:r>
        <w:rPr>
          <w:sz w:val="24"/>
          <w:szCs w:val="24"/>
        </w:rPr>
        <w:t>494,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2.184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5416407A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6BF0AC68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1EF63AA" w14:textId="33C8455F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Výběrové řízení na byt č. 602/21, ulice Lipová, Sezimovo Ústí (mat. č. 72/2024)</w:t>
      </w:r>
    </w:p>
    <w:p w14:paraId="3042F6A3" w14:textId="23BA5E24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3FC9F23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8EB7718" w14:textId="77777777" w:rsidR="003B45FF" w:rsidRPr="00BA510C" w:rsidRDefault="003B45FF" w:rsidP="003B45FF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3C44B919" w14:textId="2F39EB47" w:rsidR="003B45FF" w:rsidRPr="00FD7F8E" w:rsidRDefault="003B45FF" w:rsidP="003B45FF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602/21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Lipová</w:t>
      </w:r>
      <w:r w:rsidRPr="00FD7F8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D7F8E">
        <w:rPr>
          <w:sz w:val="24"/>
          <w:szCs w:val="24"/>
        </w:rPr>
        <w:t xml:space="preserve">č. p. </w:t>
      </w:r>
      <w:r>
        <w:rPr>
          <w:sz w:val="24"/>
          <w:szCs w:val="24"/>
        </w:rPr>
        <w:t>602,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2.150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5D71C5F9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180BC045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7CF2A3A" w14:textId="7CF356D8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Výběrové řízení na byt č. 638/09, ulice Dukelská, Sezimovo Ústí (mat. č. 73/2024)</w:t>
      </w:r>
    </w:p>
    <w:p w14:paraId="672085E8" w14:textId="71C3DFAA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5BDF350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940F7C5" w14:textId="77777777" w:rsidR="003B45FF" w:rsidRPr="00BA510C" w:rsidRDefault="003B45FF" w:rsidP="003B45FF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6C6E0413" w14:textId="48CFC5C2" w:rsidR="003B45FF" w:rsidRPr="00FD7F8E" w:rsidRDefault="003B45FF" w:rsidP="003B45FF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638/09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Dukelská</w:t>
      </w:r>
      <w:r w:rsidRPr="00FD7F8E">
        <w:rPr>
          <w:sz w:val="24"/>
          <w:szCs w:val="24"/>
        </w:rPr>
        <w:t xml:space="preserve"> </w:t>
      </w:r>
      <w:r w:rsidR="00E91EA5">
        <w:rPr>
          <w:sz w:val="24"/>
          <w:szCs w:val="24"/>
        </w:rPr>
        <w:br/>
      </w:r>
      <w:r w:rsidRPr="00FD7F8E">
        <w:rPr>
          <w:sz w:val="24"/>
          <w:szCs w:val="24"/>
        </w:rPr>
        <w:t xml:space="preserve">č. p. </w:t>
      </w:r>
      <w:r>
        <w:rPr>
          <w:sz w:val="24"/>
          <w:szCs w:val="24"/>
        </w:rPr>
        <w:t>638,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2.513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432C42B1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5359AD3B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193D91F" w14:textId="4F772EFF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Výběrové řízení na byt č. 638/35, ulice Dukelská, Sezimovo Ústí (mat. č. 74/2024)</w:t>
      </w:r>
    </w:p>
    <w:p w14:paraId="052110CF" w14:textId="740F6921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08E86CD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E94D4FC" w14:textId="77777777" w:rsidR="003B45FF" w:rsidRPr="00BA510C" w:rsidRDefault="003B45FF" w:rsidP="003B45FF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3EBB99F8" w14:textId="474311CD" w:rsidR="003B45FF" w:rsidRPr="00FD7F8E" w:rsidRDefault="003B45FF" w:rsidP="003B45FF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638/35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Dukelská</w:t>
      </w:r>
      <w:r w:rsidRPr="00FD7F8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D7F8E">
        <w:rPr>
          <w:sz w:val="24"/>
          <w:szCs w:val="24"/>
        </w:rPr>
        <w:t xml:space="preserve">č. p. </w:t>
      </w:r>
      <w:r>
        <w:rPr>
          <w:sz w:val="24"/>
          <w:szCs w:val="24"/>
        </w:rPr>
        <w:t>638,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</w:t>
      </w:r>
      <w:r w:rsidRPr="00FD7F8E">
        <w:rPr>
          <w:sz w:val="24"/>
          <w:szCs w:val="24"/>
        </w:rPr>
        <w:lastRenderedPageBreak/>
        <w:t xml:space="preserve">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2.503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56D649C0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2F839989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FFD6362" w14:textId="75DC410D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Výběrové řízení na byt č. 638/25, ulice Dukelská, Sezimovo Ústí (mat. č. 75/2024)</w:t>
      </w:r>
    </w:p>
    <w:p w14:paraId="22FC143F" w14:textId="72FBF6C0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BA17FAA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73F31AE" w14:textId="77777777" w:rsidR="003B45FF" w:rsidRPr="00BA510C" w:rsidRDefault="003B45FF" w:rsidP="003B45FF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4E61DB51" w14:textId="5AA41C87" w:rsidR="003B45FF" w:rsidRPr="00FD7F8E" w:rsidRDefault="003B45FF" w:rsidP="003B45FF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638/25</w:t>
      </w:r>
      <w:r w:rsidRPr="00FD7F8E">
        <w:rPr>
          <w:sz w:val="24"/>
          <w:szCs w:val="24"/>
        </w:rPr>
        <w:t xml:space="preserve">, ulice </w:t>
      </w:r>
      <w:r>
        <w:rPr>
          <w:sz w:val="24"/>
          <w:szCs w:val="24"/>
        </w:rPr>
        <w:t>Dukelská</w:t>
      </w:r>
      <w:r w:rsidRPr="00FD7F8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D7F8E">
        <w:rPr>
          <w:sz w:val="24"/>
          <w:szCs w:val="24"/>
        </w:rPr>
        <w:t xml:space="preserve">č. p. </w:t>
      </w:r>
      <w:r>
        <w:rPr>
          <w:sz w:val="24"/>
          <w:szCs w:val="24"/>
        </w:rPr>
        <w:t>638,</w:t>
      </w:r>
      <w:r w:rsidRPr="00FD7F8E">
        <w:rPr>
          <w:sz w:val="24"/>
          <w:szCs w:val="24"/>
        </w:rPr>
        <w:t xml:space="preserve"> Sezimovo Ústí, o velikosti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2.513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3DAB813D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30908E3C" w14:textId="77777777" w:rsidR="000A1E66" w:rsidRDefault="000A1E66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6DAA0BC" w14:textId="34AD6CF6" w:rsidR="00F70F59" w:rsidRDefault="000A1E66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</w:t>
      </w:r>
      <w:r w:rsidR="00F70F59" w:rsidRPr="00F70F59">
        <w:rPr>
          <w:rFonts w:asciiTheme="minorHAnsi" w:hAnsiTheme="minorHAnsi" w:cstheme="minorHAnsi"/>
          <w:b/>
          <w:bCs/>
          <w:szCs w:val="24"/>
        </w:rPr>
        <w:t>ápis č. 3 z jednání pracovní skupiny pro odpadové hospodářství (mat. č. 76/2024)</w:t>
      </w:r>
    </w:p>
    <w:p w14:paraId="77B3E415" w14:textId="5521EBF1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B41EDD8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785E812" w14:textId="77777777" w:rsidR="003B45FF" w:rsidRPr="00BA740D" w:rsidRDefault="003B45FF" w:rsidP="003B45FF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1724D79A" w14:textId="77777777" w:rsidR="003B45FF" w:rsidRPr="00BA740D" w:rsidRDefault="003B45FF" w:rsidP="003B45FF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předložený zápis z 3</w:t>
      </w:r>
      <w:r w:rsidRPr="00BA740D">
        <w:rPr>
          <w:rFonts w:cs="Calibri"/>
          <w:szCs w:val="24"/>
        </w:rPr>
        <w:t xml:space="preserve">. schůze </w:t>
      </w:r>
      <w:r>
        <w:rPr>
          <w:rFonts w:cs="Calibri"/>
          <w:szCs w:val="24"/>
        </w:rPr>
        <w:t>pracovní skupiny pro odpadové hospodářství</w:t>
      </w:r>
      <w:r w:rsidRPr="00BA740D">
        <w:rPr>
          <w:rFonts w:cs="Calibri"/>
          <w:szCs w:val="24"/>
        </w:rPr>
        <w:t xml:space="preserve"> a závěry v něm uvedené.</w:t>
      </w:r>
    </w:p>
    <w:p w14:paraId="3B4E46D2" w14:textId="6A81B552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="003B45FF">
        <w:rPr>
          <w:rFonts w:cs="Calibri"/>
          <w:szCs w:val="24"/>
        </w:rPr>
        <w:t>4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</w:t>
      </w:r>
      <w:r w:rsidR="003B45FF">
        <w:rPr>
          <w:rFonts w:cs="Calibri"/>
          <w:szCs w:val="24"/>
        </w:rPr>
        <w:t>1</w:t>
      </w:r>
      <w:r w:rsidRPr="00300CCC">
        <w:rPr>
          <w:rFonts w:cs="Calibri"/>
          <w:szCs w:val="24"/>
        </w:rPr>
        <w:t>Z</w:t>
      </w:r>
    </w:p>
    <w:p w14:paraId="42803D37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C552921" w14:textId="23599E71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Zřízení služebnosti inženýrské sítě a souhlas se stavbou – vodovodní přípojka</w:t>
      </w:r>
      <w:r w:rsidR="008B11D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70F59">
        <w:rPr>
          <w:rFonts w:asciiTheme="minorHAnsi" w:hAnsiTheme="minorHAnsi" w:cstheme="minorHAnsi"/>
          <w:b/>
          <w:bCs/>
          <w:szCs w:val="24"/>
        </w:rPr>
        <w:t>(mat. č. 77/2024)</w:t>
      </w:r>
    </w:p>
    <w:p w14:paraId="518FE369" w14:textId="7C5B57B2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8141DB2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3EC1618" w14:textId="77777777" w:rsidR="00B10D7C" w:rsidRPr="00244949" w:rsidRDefault="00B10D7C" w:rsidP="00B10D7C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631862FE" w14:textId="3ACF168A" w:rsidR="00B10D7C" w:rsidRDefault="00B10D7C" w:rsidP="00B10D7C">
      <w:pPr>
        <w:jc w:val="both"/>
      </w:pPr>
      <w:r w:rsidRPr="007300E9">
        <w:t xml:space="preserve">zřízení </w:t>
      </w:r>
      <w:r>
        <w:t>služebnosti</w:t>
      </w:r>
      <w:r w:rsidRPr="007300E9">
        <w:t xml:space="preserve"> spočívající v umístění </w:t>
      </w:r>
      <w:r>
        <w:t xml:space="preserve">inženýrské sítě – vodovodní přípojka v délce cca 5,5 m </w:t>
      </w:r>
      <w:r w:rsidR="00E91EA5">
        <w:br/>
      </w:r>
      <w:r>
        <w:t xml:space="preserve">v pozemku č. 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 xml:space="preserve">802/1 – ostatní plocha, ostatní komunikace, </w:t>
      </w:r>
      <w:r>
        <w:t xml:space="preserve">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 xml:space="preserve">, </w:t>
      </w:r>
      <w:r>
        <w:t xml:space="preserve">jako služebnost pozemkovou, </w:t>
      </w:r>
      <w:r w:rsidRPr="007300E9">
        <w:t xml:space="preserve">ve prospěch </w:t>
      </w:r>
      <w:r>
        <w:t xml:space="preserve">pozemku č. </w:t>
      </w:r>
      <w:proofErr w:type="spellStart"/>
      <w:r>
        <w:t>parc</w:t>
      </w:r>
      <w:proofErr w:type="spellEnd"/>
      <w:r>
        <w:t xml:space="preserve">. 464 – zahrada, obec a k. </w:t>
      </w:r>
      <w:proofErr w:type="spellStart"/>
      <w:r>
        <w:t>ú.</w:t>
      </w:r>
      <w:proofErr w:type="spellEnd"/>
      <w:r>
        <w:t xml:space="preserve"> Sezimovo Ústí,</w:t>
      </w:r>
      <w:r w:rsidRPr="007300E9">
        <w:t xml:space="preserve"> </w:t>
      </w:r>
      <w:r>
        <w:t>na dobu neurčitou a</w:t>
      </w:r>
      <w:r w:rsidRPr="007300E9">
        <w:t xml:space="preserve"> úplatně, za </w:t>
      </w:r>
      <w:r>
        <w:t xml:space="preserve">jednorázovou náhradu ve výši 100 Kč/1 </w:t>
      </w:r>
      <w:proofErr w:type="spellStart"/>
      <w:r>
        <w:t>bm</w:t>
      </w:r>
      <w:proofErr w:type="spellEnd"/>
      <w:r>
        <w:t xml:space="preserve"> </w:t>
      </w:r>
      <w:r w:rsidRPr="00360613">
        <w:t>+ 21</w:t>
      </w:r>
      <w:r>
        <w:t xml:space="preserve"> </w:t>
      </w:r>
      <w:r w:rsidRPr="00360613">
        <w:t>% DPH.</w:t>
      </w:r>
      <w:r>
        <w:t xml:space="preserve"> Náklady za vyhotovení geometrického plánu a správní poplatek </w:t>
      </w:r>
      <w:r w:rsidRPr="00BC6E2F">
        <w:rPr>
          <w:rFonts w:asciiTheme="minorHAnsi" w:hAnsiTheme="minorHAnsi"/>
          <w:szCs w:val="24"/>
        </w:rPr>
        <w:t>za p</w:t>
      </w:r>
      <w:r w:rsidRPr="00BC6E2F">
        <w:rPr>
          <w:rFonts w:asciiTheme="minorHAnsi" w:hAnsiTheme="minorHAnsi" w:cs="Arial"/>
          <w:color w:val="000000"/>
          <w:szCs w:val="24"/>
        </w:rPr>
        <w:t xml:space="preserve">řijetí návrhu na zahájení řízení o povolení vkladu do katastru nemovitostí </w:t>
      </w:r>
      <w:r>
        <w:t xml:space="preserve">hradí oprávněný z věcného břemene. </w:t>
      </w:r>
    </w:p>
    <w:p w14:paraId="399AA708" w14:textId="77777777" w:rsidR="00B10D7C" w:rsidRPr="00244949" w:rsidRDefault="00B10D7C" w:rsidP="00B10D7C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7D06A1F0" w14:textId="77777777" w:rsidR="00B10D7C" w:rsidRDefault="00B10D7C" w:rsidP="00B10D7C">
      <w:pPr>
        <w:jc w:val="both"/>
        <w:rPr>
          <w:szCs w:val="24"/>
        </w:rPr>
      </w:pPr>
      <w:r>
        <w:rPr>
          <w:szCs w:val="24"/>
        </w:rPr>
        <w:t>se stavbou vodovodní přípojky na pozemku</w:t>
      </w:r>
      <w:r w:rsidRPr="00823A43">
        <w:t xml:space="preserve"> </w:t>
      </w:r>
      <w:r>
        <w:t xml:space="preserve">č. </w:t>
      </w:r>
      <w:proofErr w:type="spellStart"/>
      <w:r>
        <w:t>parc</w:t>
      </w:r>
      <w:proofErr w:type="spellEnd"/>
      <w:r>
        <w:t xml:space="preserve">. </w:t>
      </w:r>
      <w:r>
        <w:rPr>
          <w:szCs w:val="24"/>
        </w:rPr>
        <w:t>802/1 – ostatní plocha, ostatní komunikace,</w:t>
      </w:r>
      <w:r>
        <w:t xml:space="preserve"> obec a k. </w:t>
      </w:r>
      <w:proofErr w:type="spellStart"/>
      <w:r>
        <w:t>ú.</w:t>
      </w:r>
      <w:proofErr w:type="spellEnd"/>
      <w:r>
        <w:t xml:space="preserve"> Sezimovo Ústí</w:t>
      </w:r>
      <w:r>
        <w:rPr>
          <w:szCs w:val="24"/>
        </w:rPr>
        <w:t>,</w:t>
      </w:r>
      <w:r>
        <w:t xml:space="preserve"> </w:t>
      </w:r>
      <w:r>
        <w:rPr>
          <w:szCs w:val="24"/>
        </w:rPr>
        <w:t>na kterém bude stavba realizována, a jehož vlastníkem je město Sezimovo Ústí.</w:t>
      </w:r>
    </w:p>
    <w:p w14:paraId="56C3F461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7B3B1355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A17D936" w14:textId="5A7491E0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Souhlas s převedením Smlouvy o výpůjčce na nového Vypůjčitele (mat. č. 78/2024)</w:t>
      </w:r>
    </w:p>
    <w:p w14:paraId="7BE969BC" w14:textId="3B4C13DC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48A5A91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D25AECF" w14:textId="5B18033F" w:rsidR="00B10D7C" w:rsidRPr="00B10D7C" w:rsidRDefault="00B10D7C" w:rsidP="00F70F59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</w:t>
      </w:r>
      <w:r w:rsidRPr="00B10D7C">
        <w:rPr>
          <w:rFonts w:cs="Calibri"/>
          <w:b/>
          <w:szCs w:val="24"/>
        </w:rPr>
        <w:t>Odkládá</w:t>
      </w:r>
    </w:p>
    <w:p w14:paraId="2B8D695E" w14:textId="6524C5F6" w:rsidR="00B10D7C" w:rsidRDefault="00B10D7C" w:rsidP="00F70F59">
      <w:pPr>
        <w:contextualSpacing/>
        <w:jc w:val="both"/>
        <w:rPr>
          <w:szCs w:val="24"/>
        </w:rPr>
      </w:pPr>
      <w:r>
        <w:rPr>
          <w:szCs w:val="24"/>
        </w:rPr>
        <w:t>projednání tohoto materiálu.</w:t>
      </w:r>
    </w:p>
    <w:p w14:paraId="0AC13D87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403EA3EE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FF4E122" w14:textId="4BEFB194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Oprava komunikace Mlýnská – výběr zhotovitele (mat. č. 79/2024)</w:t>
      </w:r>
    </w:p>
    <w:p w14:paraId="5CE23DFF" w14:textId="0B062301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79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E714683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5EFEE44" w14:textId="77777777" w:rsidR="00B10D7C" w:rsidRPr="00AF5E66" w:rsidRDefault="00B10D7C" w:rsidP="00B10D7C">
      <w:pPr>
        <w:jc w:val="both"/>
        <w:rPr>
          <w:rFonts w:cs="Calibri"/>
          <w:b/>
          <w:szCs w:val="24"/>
        </w:rPr>
      </w:pPr>
      <w:r w:rsidRPr="00AF5E66">
        <w:rPr>
          <w:rFonts w:cs="Calibri"/>
          <w:b/>
          <w:szCs w:val="24"/>
        </w:rPr>
        <w:t>I. Bere na vědomí</w:t>
      </w:r>
    </w:p>
    <w:p w14:paraId="60946019" w14:textId="77777777" w:rsidR="00B10D7C" w:rsidRPr="00AF5E66" w:rsidRDefault="00B10D7C" w:rsidP="00B10D7C">
      <w:pPr>
        <w:contextualSpacing/>
        <w:jc w:val="both"/>
        <w:rPr>
          <w:rFonts w:cs="Calibri"/>
          <w:szCs w:val="24"/>
        </w:rPr>
      </w:pPr>
      <w:r w:rsidRPr="00AF5E66">
        <w:rPr>
          <w:rFonts w:cs="Calibri"/>
        </w:rPr>
        <w:lastRenderedPageBreak/>
        <w:t>zprávu z otevření, posouzení a hodnocení nabídek týkající se výběrového řízení na výběr dodavatele na stavební zakázku: „</w:t>
      </w:r>
      <w:r w:rsidRPr="00AF5E66">
        <w:rPr>
          <w:rFonts w:cs="Calibri"/>
          <w:szCs w:val="24"/>
        </w:rPr>
        <w:t xml:space="preserve">Oprava komunikace Mlýnská Sezimovo Ústí </w:t>
      </w:r>
      <w:r w:rsidRPr="00AF5E66">
        <w:rPr>
          <w:rFonts w:cs="Calibri"/>
          <w:snapToGrid w:val="0"/>
          <w:szCs w:val="24"/>
        </w:rPr>
        <w:t>“</w:t>
      </w:r>
      <w:r w:rsidRPr="00AF5E66">
        <w:rPr>
          <w:rFonts w:cs="Calibri"/>
          <w:szCs w:val="24"/>
          <w:lang w:eastAsia="en-US"/>
        </w:rPr>
        <w:t>.</w:t>
      </w:r>
    </w:p>
    <w:p w14:paraId="37377E2B" w14:textId="77777777" w:rsidR="00B10D7C" w:rsidRPr="00AF5E66" w:rsidRDefault="00B10D7C" w:rsidP="00B10D7C">
      <w:pPr>
        <w:contextualSpacing/>
        <w:jc w:val="both"/>
        <w:rPr>
          <w:rFonts w:cs="Calibri"/>
          <w:b/>
          <w:szCs w:val="24"/>
        </w:rPr>
      </w:pPr>
      <w:r w:rsidRPr="00AF5E66">
        <w:rPr>
          <w:rFonts w:cs="Calibri"/>
          <w:b/>
          <w:szCs w:val="24"/>
        </w:rPr>
        <w:t>II. Souhlasí</w:t>
      </w:r>
    </w:p>
    <w:p w14:paraId="66EFFE5A" w14:textId="715C76A9" w:rsidR="00B10D7C" w:rsidRPr="00AF5E66" w:rsidRDefault="00B10D7C" w:rsidP="00B10D7C">
      <w:pPr>
        <w:jc w:val="both"/>
        <w:rPr>
          <w:rFonts w:cs="Calibri"/>
          <w:szCs w:val="24"/>
        </w:rPr>
      </w:pPr>
      <w:r w:rsidRPr="00AF5E66">
        <w:rPr>
          <w:rFonts w:cs="Calibri"/>
          <w:szCs w:val="24"/>
        </w:rPr>
        <w:t xml:space="preserve">s uzavřením smlouvy s uchazečem, který předložil nabídku, vyhodnocenou jako nejlepší, kterou je: </w:t>
      </w:r>
      <w:proofErr w:type="spellStart"/>
      <w:r w:rsidRPr="00AF5E66">
        <w:rPr>
          <w:rFonts w:cs="Calibri"/>
          <w:szCs w:val="24"/>
        </w:rPr>
        <w:t>Vialit</w:t>
      </w:r>
      <w:proofErr w:type="spellEnd"/>
      <w:r w:rsidRPr="00AF5E66">
        <w:rPr>
          <w:rFonts w:cs="Calibri"/>
          <w:szCs w:val="24"/>
        </w:rPr>
        <w:t xml:space="preserve"> Soběslav spol. s.r.o. Na </w:t>
      </w:r>
      <w:proofErr w:type="spellStart"/>
      <w:r w:rsidRPr="00AF5E66">
        <w:rPr>
          <w:rFonts w:cs="Calibri"/>
          <w:szCs w:val="24"/>
        </w:rPr>
        <w:t>Švadlačkách</w:t>
      </w:r>
      <w:proofErr w:type="spellEnd"/>
      <w:r w:rsidRPr="00AF5E66">
        <w:rPr>
          <w:rFonts w:cs="Calibri"/>
          <w:szCs w:val="24"/>
        </w:rPr>
        <w:t xml:space="preserve"> 478/1, 392 01 Soběslav, IČ: 14504456, nabídková cena za dílo činí 445.774,05</w:t>
      </w:r>
      <w:r>
        <w:rPr>
          <w:rFonts w:cs="Calibri"/>
          <w:szCs w:val="24"/>
        </w:rPr>
        <w:t xml:space="preserve"> </w:t>
      </w:r>
      <w:r w:rsidR="00E86BC4">
        <w:rPr>
          <w:rFonts w:cs="Calibri"/>
          <w:szCs w:val="24"/>
        </w:rPr>
        <w:t xml:space="preserve">Kč </w:t>
      </w:r>
      <w:r w:rsidRPr="00AF5E66">
        <w:rPr>
          <w:rFonts w:cs="Calibri"/>
          <w:szCs w:val="24"/>
        </w:rPr>
        <w:t>bez DPH 539</w:t>
      </w:r>
      <w:r w:rsidRPr="00AF5E66">
        <w:rPr>
          <w:rFonts w:cs="Calibri"/>
          <w:bCs/>
          <w:szCs w:val="24"/>
        </w:rPr>
        <w:t>.386,60</w:t>
      </w:r>
      <w:r w:rsidR="00E86BC4">
        <w:rPr>
          <w:rFonts w:cs="Calibri"/>
          <w:bCs/>
          <w:szCs w:val="24"/>
        </w:rPr>
        <w:t xml:space="preserve"> </w:t>
      </w:r>
      <w:r w:rsidRPr="00AF5E66">
        <w:rPr>
          <w:rFonts w:cs="Calibri"/>
          <w:bCs/>
          <w:snapToGrid w:val="0"/>
          <w:szCs w:val="24"/>
        </w:rPr>
        <w:t>Kč</w:t>
      </w:r>
      <w:r w:rsidRPr="00AF5E66">
        <w:rPr>
          <w:rFonts w:cs="Calibri"/>
          <w:szCs w:val="24"/>
        </w:rPr>
        <w:t xml:space="preserve"> s DPH 21</w:t>
      </w:r>
      <w:r>
        <w:rPr>
          <w:rFonts w:cs="Calibri"/>
          <w:szCs w:val="24"/>
        </w:rPr>
        <w:t xml:space="preserve"> </w:t>
      </w:r>
      <w:r w:rsidRPr="00AF5E66">
        <w:rPr>
          <w:rFonts w:cs="Calibri"/>
          <w:szCs w:val="24"/>
        </w:rPr>
        <w:t>%.</w:t>
      </w:r>
    </w:p>
    <w:p w14:paraId="0AAAF87E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62D8189A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06D9A22" w14:textId="562112EC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Rozpočtové opatření rady města na r. 2024 č. 2 (mat. č. 80/2024)</w:t>
      </w:r>
    </w:p>
    <w:p w14:paraId="761D4843" w14:textId="6C2801CC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C6A2760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5B1038B" w14:textId="77777777" w:rsidR="00B10D7C" w:rsidRDefault="00B10D7C" w:rsidP="00B10D7C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4C562F3A" w14:textId="77777777" w:rsidR="00B10D7C" w:rsidRDefault="00B10D7C" w:rsidP="00B10D7C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rozpočtové opatření RM č. 2</w:t>
      </w:r>
    </w:p>
    <w:p w14:paraId="215EA807" w14:textId="77777777" w:rsidR="00B10D7C" w:rsidRDefault="00B10D7C" w:rsidP="00B10D7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Přijetí neinvestiční dotace na podporu poskytování sociálních služeb pro r. 2024 (pečovatelská služba a denní stacionář) </w:t>
      </w:r>
    </w:p>
    <w:tbl>
      <w:tblPr>
        <w:tblW w:w="9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0"/>
        <w:gridCol w:w="983"/>
        <w:gridCol w:w="691"/>
        <w:gridCol w:w="4640"/>
        <w:gridCol w:w="1680"/>
      </w:tblGrid>
      <w:tr w:rsidR="00B10D7C" w:rsidRPr="00B10D7C" w14:paraId="240D448F" w14:textId="77777777" w:rsidTr="00B27F0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C650D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DA486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Odd.§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D8BBB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68A14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UZ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C18EC" w14:textId="77777777" w:rsidR="00B10D7C" w:rsidRPr="00B10D7C" w:rsidRDefault="00B10D7C" w:rsidP="00B27F0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1903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 xml:space="preserve"> tis. Kč</w:t>
            </w:r>
          </w:p>
        </w:tc>
      </w:tr>
      <w:tr w:rsidR="00B10D7C" w:rsidRPr="00B10D7C" w14:paraId="1540DE13" w14:textId="77777777" w:rsidTr="00B27F0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EBD4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30199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145C3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E3B5B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7F304" w14:textId="77777777" w:rsidR="00B10D7C" w:rsidRPr="00B10D7C" w:rsidRDefault="00B10D7C" w:rsidP="00B27F06">
            <w:pPr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Neinvestiční přijaté transfery od krajů,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2BBF1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1 775</w:t>
            </w:r>
          </w:p>
        </w:tc>
      </w:tr>
      <w:tr w:rsidR="00B10D7C" w:rsidRPr="00B10D7C" w14:paraId="5A1DF415" w14:textId="77777777" w:rsidTr="00B27F0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44A5A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55B86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1533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B0033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3609F" w14:textId="77777777" w:rsidR="00B10D7C" w:rsidRPr="00B10D7C" w:rsidRDefault="00B10D7C" w:rsidP="00B27F06">
            <w:pPr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Neinvestiční přijaté transfery od krajů,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8129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854</w:t>
            </w:r>
          </w:p>
        </w:tc>
      </w:tr>
      <w:tr w:rsidR="00B10D7C" w:rsidRPr="00B10D7C" w14:paraId="3A18BFD6" w14:textId="77777777" w:rsidTr="00B27F0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9C2F0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84DF3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3382D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EC21C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62A5" w14:textId="77777777" w:rsidR="00B10D7C" w:rsidRPr="00B10D7C" w:rsidRDefault="00B10D7C" w:rsidP="00B27F06">
            <w:pPr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Platy zaměstnanců, ORG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A2FCD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1 775</w:t>
            </w:r>
          </w:p>
        </w:tc>
      </w:tr>
      <w:tr w:rsidR="00B10D7C" w:rsidRPr="00B10D7C" w14:paraId="77BE2BC5" w14:textId="77777777" w:rsidTr="00B27F06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45207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BB5DB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C47D5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C95D6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D1C52" w14:textId="77777777" w:rsidR="00B10D7C" w:rsidRPr="00B10D7C" w:rsidRDefault="00B10D7C" w:rsidP="00B27F06">
            <w:pPr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Platy zaměstnanců, ORG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426B7" w14:textId="77777777" w:rsidR="00B10D7C" w:rsidRPr="00B10D7C" w:rsidRDefault="00B10D7C" w:rsidP="00B27F06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854</w:t>
            </w:r>
          </w:p>
        </w:tc>
      </w:tr>
      <w:tr w:rsidR="00B10D7C" w:rsidRPr="00B10D7C" w14:paraId="2E5DD60C" w14:textId="77777777" w:rsidTr="00B27F0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216FB" w14:textId="77777777" w:rsidR="00B10D7C" w:rsidRPr="00B10D7C" w:rsidRDefault="00B10D7C" w:rsidP="00B27F06">
            <w:pPr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8831C" w14:textId="77777777" w:rsidR="00B10D7C" w:rsidRPr="00B10D7C" w:rsidRDefault="00B10D7C" w:rsidP="00B27F06">
            <w:pPr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AA08A" w14:textId="77777777" w:rsidR="00B10D7C" w:rsidRPr="00B10D7C" w:rsidRDefault="00B10D7C" w:rsidP="00B27F06">
            <w:pPr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DA007" w14:textId="77777777" w:rsidR="00B10D7C" w:rsidRPr="00B10D7C" w:rsidRDefault="00B10D7C" w:rsidP="00B27F06">
            <w:pPr>
              <w:rPr>
                <w:rFonts w:cs="Calibri"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11AD6" w14:textId="77777777" w:rsidR="00B10D7C" w:rsidRPr="00B10D7C" w:rsidRDefault="00B10D7C" w:rsidP="00B27F06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b/>
                <w:bCs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F6BF8" w14:textId="77777777" w:rsidR="00B10D7C" w:rsidRPr="00B10D7C" w:rsidRDefault="00B10D7C" w:rsidP="00B27F06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10D7C">
              <w:rPr>
                <w:rFonts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72180854" w14:textId="77777777" w:rsidR="00B10D7C" w:rsidRPr="00B10D7C" w:rsidRDefault="00B10D7C" w:rsidP="00B10D7C">
      <w:pPr>
        <w:rPr>
          <w:rFonts w:cs="Arial"/>
          <w:i/>
          <w:iCs/>
          <w:sz w:val="20"/>
          <w:szCs w:val="20"/>
        </w:rPr>
      </w:pPr>
      <w:r w:rsidRPr="00B10D7C">
        <w:rPr>
          <w:rFonts w:cs="Arial"/>
          <w:i/>
          <w:iCs/>
          <w:sz w:val="20"/>
          <w:szCs w:val="20"/>
        </w:rPr>
        <w:t>ORG 9 – pečovatelská služba</w:t>
      </w:r>
    </w:p>
    <w:p w14:paraId="1F047F65" w14:textId="77777777" w:rsidR="00B10D7C" w:rsidRPr="00B10D7C" w:rsidRDefault="00B10D7C" w:rsidP="00B10D7C">
      <w:pPr>
        <w:rPr>
          <w:rFonts w:cs="Arial"/>
          <w:i/>
          <w:iCs/>
          <w:sz w:val="20"/>
          <w:szCs w:val="20"/>
        </w:rPr>
      </w:pPr>
      <w:r w:rsidRPr="00B10D7C">
        <w:rPr>
          <w:rFonts w:cs="Arial"/>
          <w:i/>
          <w:iCs/>
          <w:sz w:val="20"/>
          <w:szCs w:val="20"/>
        </w:rPr>
        <w:t>ORG 10 – denní stacionář</w:t>
      </w:r>
    </w:p>
    <w:p w14:paraId="6F758396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259E130A" w14:textId="77777777" w:rsidR="00F70F59" w:rsidRPr="00F70F59" w:rsidRDefault="00F70F59" w:rsidP="00F70F59">
      <w:pPr>
        <w:jc w:val="both"/>
        <w:rPr>
          <w:rFonts w:asciiTheme="minorHAnsi" w:hAnsiTheme="minorHAnsi" w:cstheme="minorHAnsi"/>
          <w:szCs w:val="24"/>
        </w:rPr>
      </w:pPr>
    </w:p>
    <w:p w14:paraId="67BF00D0" w14:textId="6E03E872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Rozpočtová opatření zastupitelstva města na r. 2024 č. 8–11 (mat. č. 81/2024)</w:t>
      </w:r>
    </w:p>
    <w:p w14:paraId="2B2CB37D" w14:textId="42B5BB0C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CEE859E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7E3C34B" w14:textId="065FBF85" w:rsidR="00663029" w:rsidRPr="00331064" w:rsidRDefault="00663029" w:rsidP="0066302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I. </w:t>
      </w:r>
      <w:r w:rsidRPr="00331064">
        <w:rPr>
          <w:rFonts w:cs="Arial"/>
          <w:b/>
          <w:szCs w:val="24"/>
        </w:rPr>
        <w:t xml:space="preserve">Předkládá </w:t>
      </w:r>
    </w:p>
    <w:p w14:paraId="57C801DD" w14:textId="77777777" w:rsidR="00663029" w:rsidRPr="00331064" w:rsidRDefault="00663029" w:rsidP="00663029">
      <w:pPr>
        <w:jc w:val="both"/>
        <w:rPr>
          <w:rFonts w:cs="Arial"/>
          <w:szCs w:val="24"/>
          <w:u w:val="single"/>
        </w:rPr>
      </w:pPr>
      <w:r w:rsidRPr="00331064">
        <w:rPr>
          <w:rFonts w:cs="Arial"/>
          <w:szCs w:val="24"/>
        </w:rPr>
        <w:t>ZM Sezimovo Ústí ke schválení</w:t>
      </w:r>
    </w:p>
    <w:p w14:paraId="259BED49" w14:textId="77777777" w:rsidR="00663029" w:rsidRDefault="00663029" w:rsidP="0066302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8</w:t>
      </w:r>
    </w:p>
    <w:p w14:paraId="69EAC78F" w14:textId="77777777" w:rsidR="00663029" w:rsidRDefault="00663029" w:rsidP="00663029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Navýšení provozního příspěvku PO Městské středisko kultury a sportu za účelem pokrytí výdajů spojených s plesem města Sezimovo Ústí r. 2024; vyúčtování   </w:t>
      </w:r>
      <w:r>
        <w:rPr>
          <w:rFonts w:cs="Calibri"/>
          <w:color w:val="000000"/>
          <w:sz w:val="20"/>
        </w:rPr>
        <w:t xml:space="preserve"> </w:t>
      </w:r>
    </w:p>
    <w:p w14:paraId="6EF6A212" w14:textId="77777777" w:rsidR="00663029" w:rsidRPr="00663029" w:rsidRDefault="00663029" w:rsidP="00663029">
      <w:pPr>
        <w:ind w:left="4248" w:firstLine="708"/>
        <w:jc w:val="both"/>
        <w:rPr>
          <w:rFonts w:asciiTheme="minorHAnsi" w:hAnsiTheme="minorHAnsi" w:cstheme="minorHAnsi"/>
          <w:sz w:val="22"/>
        </w:rPr>
      </w:pPr>
      <w:r w:rsidRPr="00663029">
        <w:rPr>
          <w:rFonts w:asciiTheme="minorHAnsi" w:hAnsiTheme="minorHAnsi" w:cstheme="minorHAnsi"/>
          <w:sz w:val="22"/>
        </w:rPr>
        <w:t xml:space="preserve">                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663029" w:rsidRPr="00663029" w14:paraId="38FF92A7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86AD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5152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 xml:space="preserve">37 670 </w:t>
            </w:r>
          </w:p>
        </w:tc>
      </w:tr>
      <w:tr w:rsidR="00663029" w:rsidRPr="00663029" w14:paraId="35E84C38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DEAB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63029">
              <w:rPr>
                <w:rFonts w:asciiTheme="minorHAnsi" w:hAnsiTheme="minorHAnsi" w:cstheme="minorHAnsi"/>
                <w:bCs/>
                <w:sz w:val="22"/>
              </w:rPr>
              <w:t>Nedaňové příjmy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02354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663029">
              <w:rPr>
                <w:rFonts w:asciiTheme="minorHAnsi" w:hAnsiTheme="minorHAnsi" w:cstheme="minorHAnsi"/>
                <w:bCs/>
                <w:sz w:val="22"/>
              </w:rPr>
              <w:t>37 670</w:t>
            </w:r>
          </w:p>
        </w:tc>
      </w:tr>
      <w:tr w:rsidR="00663029" w:rsidRPr="00663029" w14:paraId="3B66A608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02E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3029">
              <w:rPr>
                <w:rFonts w:asciiTheme="minorHAnsi" w:hAnsiTheme="minorHAnsi" w:cstheme="minorHAnsi"/>
                <w:b/>
                <w:sz w:val="22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0467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663029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6BFC46BD" w14:textId="77777777" w:rsidR="00663029" w:rsidRPr="00663029" w:rsidRDefault="00663029" w:rsidP="00663029">
      <w:pPr>
        <w:ind w:left="4248" w:firstLine="708"/>
        <w:jc w:val="both"/>
        <w:rPr>
          <w:rFonts w:asciiTheme="minorHAnsi" w:hAnsiTheme="minorHAnsi" w:cstheme="minorHAnsi"/>
          <w:sz w:val="22"/>
        </w:rPr>
      </w:pPr>
    </w:p>
    <w:p w14:paraId="4832A597" w14:textId="77777777" w:rsidR="00663029" w:rsidRPr="00663029" w:rsidRDefault="00663029" w:rsidP="00663029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663029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663029" w:rsidRPr="00663029" w14:paraId="0B317884" w14:textId="77777777" w:rsidTr="00B27F0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75F1B" w14:textId="77777777" w:rsidR="00663029" w:rsidRPr="00663029" w:rsidRDefault="00663029" w:rsidP="00B27F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8730F" w14:textId="77777777" w:rsidR="00663029" w:rsidRPr="00663029" w:rsidRDefault="00663029" w:rsidP="00B27F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307FF" w14:textId="77777777" w:rsidR="00663029" w:rsidRPr="00663029" w:rsidRDefault="00663029" w:rsidP="00B27F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6C403" w14:textId="77777777" w:rsidR="00663029" w:rsidRPr="00663029" w:rsidRDefault="00663029" w:rsidP="00B27F0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A8307" w14:textId="77777777" w:rsidR="00663029" w:rsidRPr="00663029" w:rsidRDefault="00663029" w:rsidP="00B27F06">
            <w:pPr>
              <w:spacing w:line="276" w:lineRule="auto"/>
              <w:ind w:right="214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 xml:space="preserve"> Kč</w:t>
            </w:r>
          </w:p>
        </w:tc>
      </w:tr>
      <w:tr w:rsidR="00663029" w:rsidRPr="00663029" w14:paraId="752D1CC6" w14:textId="77777777" w:rsidTr="00B27F06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912AF" w14:textId="77777777" w:rsidR="00663029" w:rsidRPr="00663029" w:rsidRDefault="00663029" w:rsidP="00B27F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450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75EE" w14:textId="77777777" w:rsidR="00663029" w:rsidRPr="00663029" w:rsidRDefault="00663029" w:rsidP="00B27F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3319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EE155" w14:textId="77777777" w:rsidR="00663029" w:rsidRPr="00663029" w:rsidRDefault="00663029" w:rsidP="00B27F06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5331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76AB9" w14:textId="77777777" w:rsidR="00663029" w:rsidRPr="00663029" w:rsidRDefault="00663029" w:rsidP="00B27F0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Neinvestiční příspěvky zřízeným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03D0" w14:textId="77777777" w:rsidR="00663029" w:rsidRPr="00663029" w:rsidRDefault="00663029" w:rsidP="00B27F06">
            <w:pPr>
              <w:spacing w:line="276" w:lineRule="auto"/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663029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63 138</w:t>
            </w:r>
          </w:p>
        </w:tc>
      </w:tr>
    </w:tbl>
    <w:p w14:paraId="5EB5CC71" w14:textId="77777777" w:rsidR="00663029" w:rsidRPr="00663029" w:rsidRDefault="00663029" w:rsidP="00663029">
      <w:pPr>
        <w:ind w:left="4248" w:firstLine="708"/>
        <w:jc w:val="both"/>
        <w:rPr>
          <w:rFonts w:asciiTheme="minorHAnsi" w:hAnsiTheme="minorHAnsi" w:cstheme="minorHAnsi"/>
          <w:sz w:val="22"/>
        </w:rPr>
      </w:pPr>
    </w:p>
    <w:p w14:paraId="7F70F645" w14:textId="77777777" w:rsidR="00663029" w:rsidRDefault="00663029" w:rsidP="0066302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9</w:t>
      </w:r>
    </w:p>
    <w:p w14:paraId="2BA4B27F" w14:textId="77777777" w:rsidR="00663029" w:rsidRDefault="00663029" w:rsidP="00663029">
      <w:pPr>
        <w:spacing w:after="5"/>
        <w:ind w:left="10" w:hanging="10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</w:rPr>
        <w:t xml:space="preserve">Název: Užívání pozemků pod tenisovou halou </w:t>
      </w:r>
      <w:r>
        <w:rPr>
          <w:rFonts w:cs="Calibri"/>
          <w:color w:val="000000"/>
          <w:sz w:val="20"/>
        </w:rPr>
        <w:t xml:space="preserve"> </w:t>
      </w:r>
    </w:p>
    <w:p w14:paraId="68608EAC" w14:textId="77777777" w:rsidR="00663029" w:rsidRPr="00663029" w:rsidRDefault="00663029" w:rsidP="00663029">
      <w:pPr>
        <w:spacing w:after="5"/>
        <w:ind w:left="10" w:hanging="1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663029">
        <w:rPr>
          <w:rFonts w:asciiTheme="minorHAnsi" w:hAnsiTheme="minorHAnsi" w:cstheme="minorHAnsi"/>
          <w:color w:val="000000"/>
          <w:sz w:val="22"/>
        </w:rPr>
        <w:t>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663029" w:rsidRPr="00663029" w14:paraId="5B348EC8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42D6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bCs/>
                <w:sz w:val="22"/>
              </w:rPr>
              <w:t>Nedaňové příjmy</w:t>
            </w:r>
            <w:r w:rsidRPr="006630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6EA3A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 xml:space="preserve">147 </w:t>
            </w:r>
          </w:p>
        </w:tc>
      </w:tr>
      <w:tr w:rsidR="00663029" w:rsidRPr="00663029" w14:paraId="0EC8D939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7516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68C15" w14:textId="77777777" w:rsidR="00663029" w:rsidRPr="00663029" w:rsidRDefault="00663029" w:rsidP="00B27F06">
            <w:pPr>
              <w:ind w:right="20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663029">
              <w:rPr>
                <w:rFonts w:asciiTheme="minorHAnsi" w:hAnsiTheme="minorHAnsi" w:cstheme="minorHAnsi"/>
                <w:bCs/>
                <w:sz w:val="22"/>
              </w:rPr>
              <w:t xml:space="preserve">                                   147</w:t>
            </w:r>
          </w:p>
        </w:tc>
      </w:tr>
      <w:tr w:rsidR="00663029" w:rsidRPr="00663029" w14:paraId="2C85DEDD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2025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3029">
              <w:rPr>
                <w:rFonts w:asciiTheme="minorHAnsi" w:hAnsiTheme="minorHAnsi" w:cstheme="minorHAnsi"/>
                <w:b/>
                <w:sz w:val="22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D5F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663029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26C38699" w14:textId="77777777" w:rsidR="00663029" w:rsidRPr="00663029" w:rsidRDefault="00663029" w:rsidP="00663029">
      <w:pPr>
        <w:pStyle w:val="Odstavecseseznamem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14:paraId="360F6BE8" w14:textId="77777777" w:rsidR="00663029" w:rsidRDefault="00663029" w:rsidP="0066302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lastRenderedPageBreak/>
        <w:t>c) rozpočtové opatření ZM č. 10</w:t>
      </w:r>
    </w:p>
    <w:p w14:paraId="08AB7256" w14:textId="77777777" w:rsidR="00663029" w:rsidRDefault="00663029" w:rsidP="00663029">
      <w:pPr>
        <w:spacing w:after="5"/>
        <w:ind w:left="10" w:hanging="10"/>
        <w:jc w:val="both"/>
        <w:rPr>
          <w:rFonts w:cs="Calibri"/>
          <w:color w:val="000000"/>
          <w:sz w:val="20"/>
        </w:rPr>
      </w:pPr>
      <w:r>
        <w:rPr>
          <w:rFonts w:cs="Calibri"/>
          <w:color w:val="000000"/>
        </w:rPr>
        <w:t xml:space="preserve">Název: Souhlas s přijetím dotace na projekt „Digitalizace územního plánu města Sezimovo Ústí“ </w:t>
      </w:r>
      <w:r>
        <w:rPr>
          <w:rFonts w:cs="Calibri"/>
          <w:color w:val="000000"/>
          <w:sz w:val="20"/>
        </w:rPr>
        <w:t xml:space="preserve"> </w:t>
      </w:r>
    </w:p>
    <w:p w14:paraId="344DF28F" w14:textId="77777777" w:rsidR="00663029" w:rsidRPr="00663029" w:rsidRDefault="00663029" w:rsidP="00663029">
      <w:pPr>
        <w:spacing w:after="5"/>
        <w:ind w:left="10" w:hanging="1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Pr="00663029">
        <w:rPr>
          <w:rFonts w:asciiTheme="minorHAnsi" w:hAnsiTheme="minorHAnsi" w:cstheme="minorHAnsi"/>
          <w:color w:val="000000"/>
          <w:sz w:val="22"/>
        </w:rPr>
        <w:t xml:space="preserve">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663029" w:rsidRPr="00663029" w14:paraId="1493C8E0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CF6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bCs/>
                <w:sz w:val="22"/>
              </w:rPr>
              <w:t>Přijaté transfery</w:t>
            </w:r>
            <w:r w:rsidRPr="006630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C802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 xml:space="preserve">198 089,10 </w:t>
            </w:r>
          </w:p>
        </w:tc>
      </w:tr>
      <w:tr w:rsidR="00663029" w:rsidRPr="00663029" w14:paraId="494CBD06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EC2E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5A08" w14:textId="77777777" w:rsidR="00663029" w:rsidRPr="00663029" w:rsidRDefault="00663029" w:rsidP="00B27F06">
            <w:pPr>
              <w:ind w:right="184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663029">
              <w:rPr>
                <w:rFonts w:asciiTheme="minorHAnsi" w:hAnsiTheme="minorHAnsi" w:cstheme="minorHAnsi"/>
                <w:bCs/>
                <w:sz w:val="22"/>
              </w:rPr>
              <w:t xml:space="preserve">                     198 089,10</w:t>
            </w:r>
          </w:p>
        </w:tc>
      </w:tr>
      <w:tr w:rsidR="00663029" w:rsidRPr="00663029" w14:paraId="1943F8AB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5A09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3029">
              <w:rPr>
                <w:rFonts w:asciiTheme="minorHAnsi" w:hAnsiTheme="minorHAnsi" w:cstheme="minorHAnsi"/>
                <w:b/>
                <w:sz w:val="22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D05B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663029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5FA78825" w14:textId="77777777" w:rsidR="00663029" w:rsidRDefault="00663029" w:rsidP="00663029">
      <w:pPr>
        <w:ind w:left="4248" w:firstLine="708"/>
        <w:jc w:val="both"/>
        <w:rPr>
          <w:rFonts w:cs="Arial"/>
          <w:szCs w:val="24"/>
        </w:rPr>
      </w:pPr>
    </w:p>
    <w:p w14:paraId="391ECCFB" w14:textId="77777777" w:rsidR="00663029" w:rsidRDefault="00663029" w:rsidP="00663029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d) rozpočtové opatření ZM č. 11</w:t>
      </w:r>
    </w:p>
    <w:p w14:paraId="6DAA9558" w14:textId="78E76EB1" w:rsidR="00663029" w:rsidRDefault="00663029" w:rsidP="00663029">
      <w:pPr>
        <w:jc w:val="both"/>
        <w:rPr>
          <w:rFonts w:cs="Arial"/>
          <w:i/>
          <w:iCs/>
          <w:szCs w:val="24"/>
        </w:rPr>
      </w:pPr>
      <w:r>
        <w:rPr>
          <w:rFonts w:cs="Arial"/>
          <w:szCs w:val="24"/>
        </w:rPr>
        <w:t>Název: Přijetí dotace na projekt</w:t>
      </w:r>
      <w:r w:rsidRPr="007B3422">
        <w:rPr>
          <w:rFonts w:cs="Arial"/>
          <w:i/>
          <w:iCs/>
          <w:szCs w:val="24"/>
        </w:rPr>
        <w:t xml:space="preserve"> „Zateplení bytového domu čp. 491, Lipová ulice, </w:t>
      </w:r>
      <w:proofErr w:type="spellStart"/>
      <w:r w:rsidRPr="007B3422">
        <w:rPr>
          <w:rFonts w:cs="Arial"/>
          <w:i/>
          <w:iCs/>
          <w:szCs w:val="24"/>
        </w:rPr>
        <w:t>Sez</w:t>
      </w:r>
      <w:proofErr w:type="spellEnd"/>
      <w:r>
        <w:rPr>
          <w:rFonts w:cs="Arial"/>
          <w:i/>
          <w:iCs/>
          <w:szCs w:val="24"/>
        </w:rPr>
        <w:t>.</w:t>
      </w:r>
      <w:r w:rsidRPr="007B3422">
        <w:rPr>
          <w:rFonts w:cs="Arial"/>
          <w:i/>
          <w:iCs/>
          <w:szCs w:val="24"/>
        </w:rPr>
        <w:t xml:space="preserve"> Ústí“</w:t>
      </w:r>
    </w:p>
    <w:p w14:paraId="44303AD8" w14:textId="77777777" w:rsidR="00663029" w:rsidRPr="00663029" w:rsidRDefault="00663029" w:rsidP="00663029">
      <w:pPr>
        <w:jc w:val="both"/>
        <w:rPr>
          <w:rFonts w:asciiTheme="minorHAnsi" w:hAnsiTheme="minorHAnsi" w:cstheme="minorHAnsi"/>
          <w:sz w:val="22"/>
        </w:rPr>
      </w:pPr>
      <w:r>
        <w:rPr>
          <w:rFonts w:cs="Arial"/>
          <w:szCs w:val="24"/>
        </w:rPr>
        <w:t xml:space="preserve"> 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663029">
        <w:rPr>
          <w:rFonts w:asciiTheme="minorHAnsi" w:hAnsiTheme="minorHAnsi" w:cstheme="minorHAnsi"/>
          <w:sz w:val="22"/>
        </w:rPr>
        <w:t xml:space="preserve">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663029" w:rsidRPr="00663029" w14:paraId="793E3EEC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3D46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>Přijaté transfery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60E0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>512 752</w:t>
            </w:r>
          </w:p>
        </w:tc>
      </w:tr>
      <w:tr w:rsidR="00663029" w:rsidRPr="00663029" w14:paraId="549F0A29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0E3DC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6024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663029">
              <w:rPr>
                <w:rFonts w:asciiTheme="minorHAnsi" w:hAnsiTheme="minorHAnsi" w:cstheme="minorHAnsi"/>
                <w:sz w:val="22"/>
              </w:rPr>
              <w:t xml:space="preserve">512 752 </w:t>
            </w:r>
          </w:p>
        </w:tc>
      </w:tr>
      <w:tr w:rsidR="00663029" w:rsidRPr="00663029" w14:paraId="3B8EA606" w14:textId="77777777" w:rsidTr="00B27F0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B2DD" w14:textId="77777777" w:rsidR="00663029" w:rsidRPr="00663029" w:rsidRDefault="00663029" w:rsidP="00B27F06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63029">
              <w:rPr>
                <w:rFonts w:asciiTheme="minorHAnsi" w:hAnsiTheme="minorHAnsi" w:cstheme="minorHAnsi"/>
                <w:b/>
                <w:sz w:val="22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BEAD" w14:textId="77777777" w:rsidR="00663029" w:rsidRPr="00663029" w:rsidRDefault="00663029" w:rsidP="00B27F06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663029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1588FBFB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100AC151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58F0C12" w14:textId="50B9106F" w:rsid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F70F59">
        <w:rPr>
          <w:rFonts w:asciiTheme="minorHAnsi" w:hAnsiTheme="minorHAnsi" w:cstheme="minorHAnsi"/>
          <w:b/>
          <w:bCs/>
          <w:szCs w:val="24"/>
        </w:rPr>
        <w:t>Rozšíření plánu oprav ZŠ Školní náměstí pro r. 2024 (mat. č. 82/2024)</w:t>
      </w:r>
    </w:p>
    <w:p w14:paraId="278B9228" w14:textId="09638E66" w:rsidR="00F70F59" w:rsidRPr="003D7B04" w:rsidRDefault="00F70F59" w:rsidP="00F70F59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82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072D269" w14:textId="77777777" w:rsidR="00F70F59" w:rsidRDefault="00F70F59" w:rsidP="00F70F59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0F1B5B3" w14:textId="77777777" w:rsidR="00663029" w:rsidRDefault="00663029" w:rsidP="00663029">
      <w:pPr>
        <w:jc w:val="both"/>
        <w:rPr>
          <w:b/>
          <w:szCs w:val="24"/>
        </w:rPr>
      </w:pPr>
      <w:bookmarkStart w:id="5" w:name="_Hlk80178896"/>
      <w:r>
        <w:rPr>
          <w:b/>
          <w:szCs w:val="24"/>
        </w:rPr>
        <w:t>I. Souhlasí</w:t>
      </w:r>
    </w:p>
    <w:bookmarkEnd w:id="5"/>
    <w:p w14:paraId="13D47344" w14:textId="35A09123" w:rsidR="00663029" w:rsidRDefault="00663029" w:rsidP="00663029">
      <w:pPr>
        <w:jc w:val="both"/>
        <w:rPr>
          <w:rFonts w:cs="Calibri"/>
        </w:rPr>
      </w:pPr>
      <w:r w:rsidRPr="00CD4EF9">
        <w:rPr>
          <w:rFonts w:cs="Calibri"/>
          <w:szCs w:val="24"/>
        </w:rPr>
        <w:t xml:space="preserve">s rozšířením plánu opravu PO Základní škola Sezimovo Ústí, Školní náměstí 628, okres Tábor, </w:t>
      </w:r>
      <w:r w:rsidR="00E91EA5">
        <w:rPr>
          <w:rFonts w:cs="Calibri"/>
          <w:szCs w:val="24"/>
        </w:rPr>
        <w:br/>
      </w:r>
      <w:r w:rsidRPr="00CD4EF9">
        <w:rPr>
          <w:rFonts w:cs="Calibri"/>
          <w:szCs w:val="24"/>
        </w:rPr>
        <w:t>IČ 00582620,</w:t>
      </w:r>
      <w:r>
        <w:rPr>
          <w:rFonts w:cs="Calibri"/>
          <w:szCs w:val="24"/>
        </w:rPr>
        <w:t xml:space="preserve"> pro r. 2024</w:t>
      </w:r>
      <w:r w:rsidRPr="00CD4EF9">
        <w:rPr>
          <w:rFonts w:cs="Calibri"/>
          <w:szCs w:val="24"/>
        </w:rPr>
        <w:t xml:space="preserve"> dle </w:t>
      </w:r>
      <w:r>
        <w:rPr>
          <w:rFonts w:cs="Calibri"/>
          <w:szCs w:val="24"/>
        </w:rPr>
        <w:t>P</w:t>
      </w:r>
      <w:r w:rsidRPr="00CD4EF9">
        <w:rPr>
          <w:rFonts w:cs="Calibri"/>
          <w:szCs w:val="24"/>
        </w:rPr>
        <w:t>řílohy č. 1</w:t>
      </w:r>
      <w:r w:rsidR="00E86BC4">
        <w:rPr>
          <w:rFonts w:cs="Calibri"/>
          <w:szCs w:val="24"/>
        </w:rPr>
        <w:t xml:space="preserve"> materiálu</w:t>
      </w:r>
      <w:r>
        <w:rPr>
          <w:rFonts w:cs="Calibri"/>
          <w:szCs w:val="24"/>
        </w:rPr>
        <w:t xml:space="preserve">, vše </w:t>
      </w:r>
      <w:r>
        <w:rPr>
          <w:rFonts w:cs="Calibri"/>
        </w:rPr>
        <w:t>za předpokladu, že organizace má/bude mít dostatek finančních prostředků na realizaci těchto projektů v rozpočtu r. 2024, případně ve fondech organizace;</w:t>
      </w:r>
    </w:p>
    <w:p w14:paraId="5856A602" w14:textId="77777777" w:rsidR="00663029" w:rsidRDefault="00663029" w:rsidP="00663029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II. Nesouhlasí</w:t>
      </w:r>
    </w:p>
    <w:p w14:paraId="0F2B7E4F" w14:textId="77777777" w:rsidR="00663029" w:rsidRDefault="00663029" w:rsidP="00663029">
      <w:pPr>
        <w:jc w:val="both"/>
        <w:rPr>
          <w:rFonts w:cs="Calibri"/>
          <w:b/>
          <w:bCs/>
        </w:rPr>
      </w:pPr>
      <w:r>
        <w:rPr>
          <w:rFonts w:cs="Calibri"/>
        </w:rPr>
        <w:t>s navýšením provozního příspěvku za účelem zajištění oprav dle Přílohy č. 1;</w:t>
      </w:r>
    </w:p>
    <w:p w14:paraId="12995F8A" w14:textId="77777777" w:rsidR="00663029" w:rsidRDefault="00663029" w:rsidP="00663029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III. Ukládá  </w:t>
      </w:r>
    </w:p>
    <w:p w14:paraId="20F2E583" w14:textId="77777777" w:rsidR="00663029" w:rsidRDefault="00663029" w:rsidP="00663029">
      <w:pPr>
        <w:jc w:val="both"/>
        <w:rPr>
          <w:rFonts w:cs="Calibri"/>
        </w:rPr>
      </w:pPr>
      <w:r>
        <w:rPr>
          <w:rFonts w:cs="Calibri"/>
        </w:rPr>
        <w:t xml:space="preserve">organizaci povinnost, v případě, že některé stavební úpravy budou splňovat parametry technického zhodnocení svěřeného majetku (budovy), nechat si toto technické zhodnocení budovy odsouhlasit Zastupitelstvem města Sezimovo Ústí.   </w:t>
      </w:r>
    </w:p>
    <w:p w14:paraId="3FFEE3BB" w14:textId="77777777" w:rsidR="00F70F59" w:rsidRDefault="00F70F59" w:rsidP="00F70F59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/0N/0Z</w:t>
      </w:r>
    </w:p>
    <w:p w14:paraId="5321D23E" w14:textId="77777777" w:rsidR="00F70F59" w:rsidRPr="00F70F59" w:rsidRDefault="00F70F59" w:rsidP="00F70F59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05F342C" w14:textId="77777777" w:rsidR="00F70F59" w:rsidRDefault="00F70F59" w:rsidP="00230FD2">
      <w:pPr>
        <w:contextualSpacing/>
        <w:jc w:val="both"/>
        <w:rPr>
          <w:rFonts w:cs="Calibri"/>
          <w:szCs w:val="24"/>
        </w:rPr>
      </w:pPr>
    </w:p>
    <w:p w14:paraId="0F92227A" w14:textId="77777777" w:rsidR="00E60270" w:rsidRDefault="00E60270" w:rsidP="00C90D9B">
      <w:pPr>
        <w:rPr>
          <w:rFonts w:cs="Calibri"/>
          <w:szCs w:val="24"/>
        </w:rPr>
      </w:pPr>
    </w:p>
    <w:p w14:paraId="0BEC691C" w14:textId="77777777" w:rsidR="00E60270" w:rsidRPr="00C90D9B" w:rsidRDefault="00E60270" w:rsidP="00C90D9B">
      <w:pPr>
        <w:rPr>
          <w:rFonts w:cs="Calibri"/>
          <w:szCs w:val="24"/>
        </w:rPr>
      </w:pPr>
    </w:p>
    <w:p w14:paraId="2B6B558D" w14:textId="77777777" w:rsidR="00D12567" w:rsidRDefault="00D12567" w:rsidP="00D12567">
      <w:pPr>
        <w:contextualSpacing/>
        <w:jc w:val="both"/>
        <w:rPr>
          <w:rFonts w:cs="Calibri"/>
          <w:szCs w:val="24"/>
        </w:rPr>
      </w:pPr>
    </w:p>
    <w:p w14:paraId="2F6A53FA" w14:textId="77777777" w:rsidR="00E60270" w:rsidRDefault="00E60270" w:rsidP="00D12567">
      <w:pPr>
        <w:contextualSpacing/>
        <w:jc w:val="both"/>
        <w:rPr>
          <w:rFonts w:cs="Calibri"/>
          <w:szCs w:val="24"/>
        </w:rPr>
      </w:pPr>
    </w:p>
    <w:p w14:paraId="1AFE20D8" w14:textId="77777777" w:rsidR="00E60270" w:rsidRDefault="00E60270" w:rsidP="00D12567">
      <w:pPr>
        <w:contextualSpacing/>
        <w:jc w:val="both"/>
        <w:rPr>
          <w:rFonts w:cs="Calibri"/>
          <w:szCs w:val="24"/>
        </w:rPr>
      </w:pPr>
    </w:p>
    <w:p w14:paraId="5E673D7E" w14:textId="77777777" w:rsidR="009B0C57" w:rsidRDefault="009B0C57" w:rsidP="00D12567">
      <w:pPr>
        <w:contextualSpacing/>
        <w:jc w:val="both"/>
        <w:rPr>
          <w:rFonts w:cs="Calibri"/>
          <w:szCs w:val="24"/>
        </w:rPr>
      </w:pPr>
    </w:p>
    <w:p w14:paraId="34A5376E" w14:textId="77777777" w:rsidR="001044D6" w:rsidRPr="003D7B04" w:rsidRDefault="001044D6" w:rsidP="00D12567">
      <w:pPr>
        <w:contextualSpacing/>
        <w:jc w:val="both"/>
        <w:rPr>
          <w:rFonts w:cs="Calibri"/>
          <w:szCs w:val="24"/>
        </w:rPr>
      </w:pPr>
    </w:p>
    <w:p w14:paraId="63DC0F65" w14:textId="053609C1" w:rsidR="008E2ED4" w:rsidRDefault="008E2ED4" w:rsidP="001A6C3A">
      <w:pPr>
        <w:contextualSpacing/>
        <w:jc w:val="both"/>
        <w:rPr>
          <w:rFonts w:cs="Calibri"/>
          <w:szCs w:val="24"/>
        </w:rPr>
      </w:pPr>
      <w:bookmarkStart w:id="6" w:name="_Hlk159401587"/>
      <w:r>
        <w:rPr>
          <w:rFonts w:cs="Calibri"/>
          <w:szCs w:val="24"/>
        </w:rPr>
        <w:t>Mgr. Ing. Martin Doležal, LL.M.</w:t>
      </w:r>
      <w:r w:rsidR="00BE5733">
        <w:rPr>
          <w:rFonts w:cs="Calibri"/>
          <w:szCs w:val="24"/>
        </w:rPr>
        <w:t xml:space="preserve"> v. r.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D6646B">
        <w:rPr>
          <w:rFonts w:cs="Calibri"/>
          <w:szCs w:val="24"/>
        </w:rPr>
        <w:t xml:space="preserve"> </w:t>
      </w:r>
      <w:r w:rsidR="00BE5733">
        <w:rPr>
          <w:rFonts w:cs="Calibri"/>
          <w:szCs w:val="24"/>
        </w:rPr>
        <w:t>v. r.</w:t>
      </w:r>
      <w:r w:rsidR="00D12567" w:rsidRPr="003D7B04">
        <w:rPr>
          <w:rFonts w:cs="Calibri"/>
          <w:szCs w:val="24"/>
        </w:rPr>
        <w:tab/>
      </w:r>
    </w:p>
    <w:p w14:paraId="25DA4EAC" w14:textId="0BCB05F3" w:rsidR="00D12567" w:rsidRDefault="008E2ED4" w:rsidP="001A6C3A">
      <w:pPr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6"/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6"/>
  </w:num>
  <w:num w:numId="5" w16cid:durableId="700592238">
    <w:abstractNumId w:val="11"/>
  </w:num>
  <w:num w:numId="6" w16cid:durableId="821390463">
    <w:abstractNumId w:val="9"/>
  </w:num>
  <w:num w:numId="7" w16cid:durableId="1736397533">
    <w:abstractNumId w:val="14"/>
  </w:num>
  <w:num w:numId="8" w16cid:durableId="109014148">
    <w:abstractNumId w:val="15"/>
  </w:num>
  <w:num w:numId="9" w16cid:durableId="39941673">
    <w:abstractNumId w:val="12"/>
  </w:num>
  <w:num w:numId="10" w16cid:durableId="394276919">
    <w:abstractNumId w:val="3"/>
  </w:num>
  <w:num w:numId="11" w16cid:durableId="395205823">
    <w:abstractNumId w:val="5"/>
  </w:num>
  <w:num w:numId="12" w16cid:durableId="1336348092">
    <w:abstractNumId w:val="4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13"/>
  </w:num>
  <w:num w:numId="16" w16cid:durableId="1680499765">
    <w:abstractNumId w:val="7"/>
  </w:num>
  <w:num w:numId="17" w16cid:durableId="1140462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11600"/>
    <w:rsid w:val="000123B3"/>
    <w:rsid w:val="0004462A"/>
    <w:rsid w:val="00094611"/>
    <w:rsid w:val="000A1E66"/>
    <w:rsid w:val="000D7CC6"/>
    <w:rsid w:val="000E1C7F"/>
    <w:rsid w:val="001044D6"/>
    <w:rsid w:val="001733F0"/>
    <w:rsid w:val="00181FB5"/>
    <w:rsid w:val="00184072"/>
    <w:rsid w:val="001A6C3A"/>
    <w:rsid w:val="001C54C9"/>
    <w:rsid w:val="00200890"/>
    <w:rsid w:val="00221933"/>
    <w:rsid w:val="00230FD2"/>
    <w:rsid w:val="00234162"/>
    <w:rsid w:val="002343A1"/>
    <w:rsid w:val="00257CAA"/>
    <w:rsid w:val="00281F85"/>
    <w:rsid w:val="00287AFC"/>
    <w:rsid w:val="002947F6"/>
    <w:rsid w:val="002B1CF5"/>
    <w:rsid w:val="002C2C32"/>
    <w:rsid w:val="002C6510"/>
    <w:rsid w:val="0031749E"/>
    <w:rsid w:val="003647EF"/>
    <w:rsid w:val="00394D50"/>
    <w:rsid w:val="003B45FF"/>
    <w:rsid w:val="003B7F68"/>
    <w:rsid w:val="00406FDC"/>
    <w:rsid w:val="0047642D"/>
    <w:rsid w:val="004A3531"/>
    <w:rsid w:val="004E78DC"/>
    <w:rsid w:val="005115AA"/>
    <w:rsid w:val="00547C33"/>
    <w:rsid w:val="005706E0"/>
    <w:rsid w:val="005B4B60"/>
    <w:rsid w:val="005D682B"/>
    <w:rsid w:val="005F389F"/>
    <w:rsid w:val="00610C19"/>
    <w:rsid w:val="006113CC"/>
    <w:rsid w:val="00611401"/>
    <w:rsid w:val="0062247D"/>
    <w:rsid w:val="00662DA6"/>
    <w:rsid w:val="00663029"/>
    <w:rsid w:val="006A3311"/>
    <w:rsid w:val="006E6CC1"/>
    <w:rsid w:val="006F39B7"/>
    <w:rsid w:val="006F4565"/>
    <w:rsid w:val="006F7C0E"/>
    <w:rsid w:val="00806482"/>
    <w:rsid w:val="00821541"/>
    <w:rsid w:val="0085733D"/>
    <w:rsid w:val="008B11D8"/>
    <w:rsid w:val="008E2ED4"/>
    <w:rsid w:val="008F44EB"/>
    <w:rsid w:val="009043D8"/>
    <w:rsid w:val="009318D6"/>
    <w:rsid w:val="009540DF"/>
    <w:rsid w:val="009651B2"/>
    <w:rsid w:val="00971D10"/>
    <w:rsid w:val="009933D8"/>
    <w:rsid w:val="009B0C57"/>
    <w:rsid w:val="00A2072D"/>
    <w:rsid w:val="00A7493B"/>
    <w:rsid w:val="00AA3ABD"/>
    <w:rsid w:val="00AE3258"/>
    <w:rsid w:val="00AF65A8"/>
    <w:rsid w:val="00B10D7C"/>
    <w:rsid w:val="00B1538E"/>
    <w:rsid w:val="00B47E76"/>
    <w:rsid w:val="00B50739"/>
    <w:rsid w:val="00BD16ED"/>
    <w:rsid w:val="00BE5733"/>
    <w:rsid w:val="00C21D3E"/>
    <w:rsid w:val="00C24A2D"/>
    <w:rsid w:val="00C5030B"/>
    <w:rsid w:val="00C82849"/>
    <w:rsid w:val="00C873A7"/>
    <w:rsid w:val="00C90D9B"/>
    <w:rsid w:val="00C937A6"/>
    <w:rsid w:val="00CC1719"/>
    <w:rsid w:val="00CE19AF"/>
    <w:rsid w:val="00D12567"/>
    <w:rsid w:val="00D31160"/>
    <w:rsid w:val="00D350EE"/>
    <w:rsid w:val="00D6646B"/>
    <w:rsid w:val="00D828B6"/>
    <w:rsid w:val="00DB3026"/>
    <w:rsid w:val="00DE0B39"/>
    <w:rsid w:val="00DE3333"/>
    <w:rsid w:val="00E15481"/>
    <w:rsid w:val="00E60270"/>
    <w:rsid w:val="00E65964"/>
    <w:rsid w:val="00E74C52"/>
    <w:rsid w:val="00E82F65"/>
    <w:rsid w:val="00E86BC4"/>
    <w:rsid w:val="00E91EA5"/>
    <w:rsid w:val="00EA7CE4"/>
    <w:rsid w:val="00F15CF5"/>
    <w:rsid w:val="00F44600"/>
    <w:rsid w:val="00F532CB"/>
    <w:rsid w:val="00F70E66"/>
    <w:rsid w:val="00F70F59"/>
    <w:rsid w:val="00FA68E4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semiHidden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2024-03-06T08:04:00Z</cp:lastPrinted>
  <dcterms:created xsi:type="dcterms:W3CDTF">2024-03-06T11:06:00Z</dcterms:created>
  <dcterms:modified xsi:type="dcterms:W3CDTF">2024-03-06T11:06:00Z</dcterms:modified>
</cp:coreProperties>
</file>